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65ad" w14:textId="a796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 Қазақстан Республикасының Қаржы нарығын реттеу және дамыту агенттігі Басқармасының 2021 жылғы 15 ақпандағы № 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желтоқсандағы № 103 қаулысы. Қазақстан Республикасының Әділет министрлігінде 2021 жылғы 23 желтоқсанда № 25935 болып тіркелді. Күші жойылды - Қазақстан Республикасы Қаржы нарығын реттеу және дамыту агенттігі Басқармасының 2023 жылғы 26 маусымдағы № 62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62</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8-бабының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бекіту және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 Қазақстан Республикасының Қаржы нарығын реттеу және дамыту агенттігі Басқармасының 2021 жылғы 15 ақпандағы № 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Зейнетақы активтері сенімгерлік басқаруға берілуі мүмкін инвестициялық портфельді басқарушыға қойылатын талаптарда, сондай-ақ осы зейнетақы активтерінің есебінен сатып алуға рұқсат етілген қаржы құралдарының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Уәкілетті орган зейнетақы активтерін басқаруды жүзеге асыру үшін Талаптардың осы тармағының екінші бөлігінде белгіленген талаптарға сәйкес келетін инвестициялық портфельді басқарушылардың тізілімін (бұдан әрі – басқарушылар тізілімі) жүргізеді және ай сайын өзінің интернет-ресурсына орналастырады.</w:t>
      </w:r>
    </w:p>
    <w:bookmarkEnd w:id="3"/>
    <w:p>
      <w:pPr>
        <w:spacing w:after="0"/>
        <w:ind w:left="0"/>
        <w:jc w:val="both"/>
      </w:pPr>
      <w:r>
        <w:rPr>
          <w:rFonts w:ascii="Times New Roman"/>
          <w:b w:val="false"/>
          <w:i w:val="false"/>
          <w:color w:val="000000"/>
          <w:sz w:val="28"/>
        </w:rPr>
        <w:t>
      Зейнетақы активтерін басқаруды жүзеге асыру үшін инвестициялық портфельді басқарушы мынадай талаптарға сәйкес келуге тиіс:</w:t>
      </w:r>
    </w:p>
    <w:p>
      <w:pPr>
        <w:spacing w:after="0"/>
        <w:ind w:left="0"/>
        <w:jc w:val="both"/>
      </w:pPr>
      <w:r>
        <w:rPr>
          <w:rFonts w:ascii="Times New Roman"/>
          <w:b w:val="false"/>
          <w:i w:val="false"/>
          <w:color w:val="000000"/>
          <w:sz w:val="28"/>
        </w:rPr>
        <w:t>
      1) Талаптардың осы тармағының үшінші бөлігінде белгіленген талаптарды ескере отырып, меншікті капиталдың мөлшері кемінде 3 000 000 000 (үш миллиард) теңгені құрайды;</w:t>
      </w:r>
    </w:p>
    <w:p>
      <w:pPr>
        <w:spacing w:after="0"/>
        <w:ind w:left="0"/>
        <w:jc w:val="both"/>
      </w:pPr>
      <w:r>
        <w:rPr>
          <w:rFonts w:ascii="Times New Roman"/>
          <w:b w:val="false"/>
          <w:i w:val="false"/>
          <w:color w:val="000000"/>
          <w:sz w:val="28"/>
        </w:rPr>
        <w:t>
      2) Талаптардың осы тармағының төртінші бөлігінде белгіленген тәртіппен есептелген, басқарушылар тізіліміне енгізілген күннің алдындағы соңғы 36 (отыз алты) ай ішінде кемінде 5 000 000 000 (бес миллиард) теңге сомасында инвестициялық портфельді басқару тәжірибесінің болуы;</w:t>
      </w:r>
    </w:p>
    <w:p>
      <w:pPr>
        <w:spacing w:after="0"/>
        <w:ind w:left="0"/>
        <w:jc w:val="both"/>
      </w:pPr>
      <w:r>
        <w:rPr>
          <w:rFonts w:ascii="Times New Roman"/>
          <w:b w:val="false"/>
          <w:i w:val="false"/>
          <w:color w:val="000000"/>
          <w:sz w:val="28"/>
        </w:rPr>
        <w:t>
      3) инвестициялық портфельді басқарушының басқарушылардың тізіліміне енгізу күнінің алдындағы соңғы 2 (екі) аяқталған қаржы жылының әрқайсысының нәтижелері бойынша аудиторлық есеппен расталған, қызметінің зиян шеккен фактілерінің болмауы;</w:t>
      </w:r>
    </w:p>
    <w:p>
      <w:pPr>
        <w:spacing w:after="0"/>
        <w:ind w:left="0"/>
        <w:jc w:val="both"/>
      </w:pPr>
      <w:r>
        <w:rPr>
          <w:rFonts w:ascii="Times New Roman"/>
          <w:b w:val="false"/>
          <w:i w:val="false"/>
          <w:color w:val="000000"/>
          <w:sz w:val="28"/>
        </w:rPr>
        <w:t>
      4) басқарушылардың тізіліміне енгізу күнінің алдындағы соңғы 6 (алты) айдың ішінде уәкілетті орган белгілеген пруденциялық нормативтерді бұзу фактілерінің болмауы;</w:t>
      </w:r>
    </w:p>
    <w:p>
      <w:pPr>
        <w:spacing w:after="0"/>
        <w:ind w:left="0"/>
        <w:jc w:val="both"/>
      </w:pPr>
      <w:r>
        <w:rPr>
          <w:rFonts w:ascii="Times New Roman"/>
          <w:b w:val="false"/>
          <w:i w:val="false"/>
          <w:color w:val="000000"/>
          <w:sz w:val="28"/>
        </w:rPr>
        <w:t>
      5) басқарушылардың тізіліміне енгізу күні уәкілетті органның инвестициялық портфельді басқарушыға және (немесе) оның ірі қатысушысына қатысты қолданған, орындалмаған және (немесе) қолданыстағы қадағалап ден қою шараларының, санкциялардың, әкімшілік өндіріп алулардың және өзге де ықпал ету шараларының болмауы;</w:t>
      </w:r>
    </w:p>
    <w:p>
      <w:pPr>
        <w:spacing w:after="0"/>
        <w:ind w:left="0"/>
        <w:jc w:val="both"/>
      </w:pPr>
      <w:r>
        <w:rPr>
          <w:rFonts w:ascii="Times New Roman"/>
          <w:b w:val="false"/>
          <w:i w:val="false"/>
          <w:color w:val="000000"/>
          <w:sz w:val="28"/>
        </w:rPr>
        <w:t>
      6) басқарушылардың тізіліміне енгізу күні инвестициялық портфельді басқарушының қаржылық орнықтылығын арттыру жөніндегі ертерек ден қою шараларын және (немесе) қаржылық жай-күйді жақсарту және (немесе) тәуекелдерді барынша азайту шараларын көздейтін орындалмаған іс-шаралар жоспарларының болмауы;</w:t>
      </w:r>
    </w:p>
    <w:p>
      <w:pPr>
        <w:spacing w:after="0"/>
        <w:ind w:left="0"/>
        <w:jc w:val="both"/>
      </w:pPr>
      <w:r>
        <w:rPr>
          <w:rFonts w:ascii="Times New Roman"/>
          <w:b w:val="false"/>
          <w:i w:val="false"/>
          <w:color w:val="000000"/>
          <w:sz w:val="28"/>
        </w:rPr>
        <w:t>
      7) инвестициялық портфельді басқарушыда инвестициялық портфельді басқарушының дауыс беретін акцияларының он немесе одан көп пайызына иелік ететін (дауыс беру мүмкіндігі бар) және Қазақстан Республикасының резиденті болып табылатын акционерінің болуы;</w:t>
      </w:r>
    </w:p>
    <w:p>
      <w:pPr>
        <w:spacing w:after="0"/>
        <w:ind w:left="0"/>
        <w:jc w:val="both"/>
      </w:pPr>
      <w:r>
        <w:rPr>
          <w:rFonts w:ascii="Times New Roman"/>
          <w:b w:val="false"/>
          <w:i w:val="false"/>
          <w:color w:val="000000"/>
          <w:sz w:val="28"/>
        </w:rPr>
        <w:t>
      8) басқарушылардың тізіліміне енгізу күні инвестициялық портфельді басқарушының және (немесе) оның басшы қызметкерлерінің бағалы қағаздар нарығында айла-шарғы жасау мақсатында жасалды деп танылған мәмілелерге қатысу фактілерінің басқарушылардың тізіліміне енгізу күнінің алдындағы соңғы 12 (он екі) айдың ішінде болмауы;</w:t>
      </w:r>
    </w:p>
    <w:p>
      <w:pPr>
        <w:spacing w:after="0"/>
        <w:ind w:left="0"/>
        <w:jc w:val="both"/>
      </w:pPr>
      <w:r>
        <w:rPr>
          <w:rFonts w:ascii="Times New Roman"/>
          <w:b w:val="false"/>
          <w:i w:val="false"/>
          <w:color w:val="000000"/>
          <w:sz w:val="28"/>
        </w:rPr>
        <w:t>
      9) инвестициялық портфельді басқарушының басқарушылар тізіліміне енгізілген күннен бастап қадағалап ден қою шараларын қолдану негіздерін уәкілетті орган белгілеген мерзімде жоймау фактілерінің болмауы;</w:t>
      </w:r>
    </w:p>
    <w:p>
      <w:pPr>
        <w:spacing w:after="0"/>
        <w:ind w:left="0"/>
        <w:jc w:val="both"/>
      </w:pPr>
      <w:r>
        <w:rPr>
          <w:rFonts w:ascii="Times New Roman"/>
          <w:b w:val="false"/>
          <w:i w:val="false"/>
          <w:color w:val="000000"/>
          <w:sz w:val="28"/>
        </w:rPr>
        <w:t>
      10) басқарушылардың тізіліміне енгізген күннен бастап инвестициялық портфельді басқарушының және (немесе) оның басшы қызметкерлерінің бағалы қағаздар нарығында айла-шарғы жасау мақсатында жасалды деп танылған мәмілелерді жасау фактілерінің болмауы.</w:t>
      </w:r>
    </w:p>
    <w:p>
      <w:pPr>
        <w:spacing w:after="0"/>
        <w:ind w:left="0"/>
        <w:jc w:val="both"/>
      </w:pPr>
      <w:r>
        <w:rPr>
          <w:rFonts w:ascii="Times New Roman"/>
          <w:b w:val="false"/>
          <w:i w:val="false"/>
          <w:color w:val="000000"/>
          <w:sz w:val="28"/>
        </w:rPr>
        <w:t>
      Егер инвестициялық портфельді басқарушының меншікті капиталы 5 000 000 000 (бес миллиард) теңгеден кем болған жағдайда, зейнетақы активтерін сенімгерлік басқару туралы шарт бойынша инвестициялық портфельді басқарушы қабылдаған зейнетақы активтерінің көлемі инвестициялық портфельді басқарушының меншікті капиталының 10 (он) еселенген мөлшерінен аспайды.</w:t>
      </w:r>
    </w:p>
    <w:p>
      <w:pPr>
        <w:spacing w:after="0"/>
        <w:ind w:left="0"/>
        <w:jc w:val="both"/>
      </w:pPr>
      <w:r>
        <w:rPr>
          <w:rFonts w:ascii="Times New Roman"/>
          <w:b w:val="false"/>
          <w:i w:val="false"/>
          <w:color w:val="000000"/>
          <w:sz w:val="28"/>
        </w:rPr>
        <w:t>
      Талаптардың осы тармағының екінші бөлігінің 2) тармақшасының мақсаттары үшін уәкілетті орган инвестициялық портфельді басқарушыны басқарушылардың тізіліміне енгізген күннің алдындағы 36 (отыз алты) айдан әрқайсысының соңындағы жағдай бойынша үлестес емес клиенттердің инвестициялық портфельді басқарушының инвестициялық басқаруындағы активтері құнының орташа арифметикалық мәні (қаржы құралдарынан басқа өзге мүліктің құнын, акционерлік қоғамдар болып табылмайтын заңды тұлғалардың жарғылық капиталдарына қатысу үлестерін және дебиторлық берешек сомаларын қоспағанда) есепке алынады.</w:t>
      </w:r>
    </w:p>
    <w:p>
      <w:pPr>
        <w:spacing w:after="0"/>
        <w:ind w:left="0"/>
        <w:jc w:val="both"/>
      </w:pPr>
      <w:r>
        <w:rPr>
          <w:rFonts w:ascii="Times New Roman"/>
          <w:b w:val="false"/>
          <w:i w:val="false"/>
          <w:color w:val="000000"/>
          <w:sz w:val="28"/>
        </w:rPr>
        <w:t>
      Инвестициялық портфельді басқарушыны басқарушылар тізілімінен алып тастау зейнетақы активтерін сенімгерлік басқару туралы шартты бұзу үшін негіз болып табылады.".</w:t>
      </w:r>
    </w:p>
    <w:bookmarkStart w:name="z6" w:id="4"/>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