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679a" w14:textId="2b76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4 қарашадағы № ҚР ДСМ-108 бұйрығы. Қазақстан Республикасының Әділет министрлігінде 2021 жылғы 9 қарашада № 25066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 Тізімнің II, III, IV кестелеріндегі құрамында есірткі құралдары, психотроптық заттар мен олардың прекурсорлары бар дәрілік заттарды тағайындау бір реттік дозасы, қабылдау (енгізу) тәсілі мен жиілігі, емдеу курсының ұзақтығы, сондай-ақ құрамында есірткі, психотроптық заттар мен олардың прекурсорлары бар дәрілік заттарды тағайындаудың негіздемесі көрсетіле отырып, оның нысандары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ҚР ДСМ-175/2020 бұйрық) бекітілген науқастың медициналық құжаттарында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"24. Тізімнің III, IV кестелеріндегі құрамында есірткі, психотроптық заттар мен олардың прекурсорлары бар дәрілік заттардың рецептілері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белгіленген үлгідегі рецептілік бланктерде жазылып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"34. Жоғарыда сонамаланған талаптарға сәйкес келмейтін рецепті жарамсыз болып табылады және "Рецепт жарамсыз" мөртабанымен жабылады, "Дәрілік заттар мен медициналық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21229 болып тіркелген) бекітілген нысан бойынша, нөмірленген, тігілген және дәріхана, дәріхана пункті басшысының қолымен және мөрімен (бар болса) бекітілген дұрыс жазылмаған рецептілерді есепке алу журналында тіркеледі.</w:t>
      </w:r>
    </w:p>
    <w:bookmarkEnd w:id="5"/>
    <w:p>
      <w:pPr>
        <w:spacing w:after="0"/>
        <w:ind w:left="0"/>
        <w:jc w:val="both"/>
      </w:pPr>
      <w:r>
        <w:rPr>
          <w:rFonts w:ascii="Times New Roman"/>
          <w:b w:val="false"/>
          <w:i w:val="false"/>
          <w:color w:val="000000"/>
          <w:sz w:val="28"/>
        </w:rPr>
        <w:t>
      Дұрыс жазыл берілмеген рецептілер туралы ақпарат тиісті медициналық ұйымның басшысына және (немесе) облыстардың, республикалық маңызы бар қалалардың және астананың денсаулық сақтауды мемлекеттік басқарудың тиісті жергілікті органдарына мәлімет үшін беріледі.".</w:t>
      </w:r>
    </w:p>
    <w:bookmarkStart w:name="z10" w:id="6"/>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