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bdb0" w14:textId="6c6b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қыркүйектегі № 368 бұйрығы. Қазақстан Республикасының Әділет министрлігінде 2021 жылғы 17 қыркүйекте № 24397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21082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1 және 2-қосымшаларына сәйкес жаңа редакцияда жазылсын.</w:t>
      </w:r>
    </w:p>
    <w:bookmarkStart w:name="z9" w:id="5"/>
    <w:p>
      <w:pPr>
        <w:spacing w:after="0"/>
        <w:ind w:left="0"/>
        <w:jc w:val="both"/>
      </w:pPr>
      <w:r>
        <w:rPr>
          <w:rFonts w:ascii="Times New Roman"/>
          <w:b w:val="false"/>
          <w:i w:val="false"/>
          <w:color w:val="000000"/>
          <w:sz w:val="28"/>
        </w:rPr>
        <w:t xml:space="preserve">
      2. Көрсетілген бұйрықпен бекітілген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3 және 4-қосымшаларына сәйкес жаңа редакцияда жазылсын.</w:t>
      </w:r>
    </w:p>
    <w:bookmarkStart w:name="z15" w:id="8"/>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0"/>
    <w:bookmarkStart w:name="z18"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11"/>
    <w:bookmarkStart w:name="z19"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2"/>
    <w:bookmarkStart w:name="z20"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