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4019" w14:textId="0ea4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20 тамыздағы № 453 бұйрығы. Қазақстан Республикасының Әділет министрлігінде 2021 жылғы 24 тамызда № 24084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тіркеу тізілімінде № 17003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барлауға арналған лицензияларды беруге өтініштерді беру және оларды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Пайдалы қатты қазбаларды барлауға арналған лицензияны:</w:t>
      </w:r>
    </w:p>
    <w:bookmarkEnd w:id="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25-бабының</w:t>
      </w:r>
      <w:r>
        <w:rPr>
          <w:rFonts w:ascii="Times New Roman"/>
          <w:b w:val="false"/>
          <w:i w:val="false"/>
          <w:color w:val="000000"/>
          <w:sz w:val="28"/>
        </w:rPr>
        <w:t xml:space="preserve"> 2-тармағында көзделген жағдайларда;</w:t>
      </w:r>
    </w:p>
    <w:p>
      <w:pPr>
        <w:spacing w:after="0"/>
        <w:ind w:left="0"/>
        <w:jc w:val="both"/>
      </w:pPr>
      <w:r>
        <w:rPr>
          <w:rFonts w:ascii="Times New Roman"/>
          <w:b w:val="false"/>
          <w:i w:val="false"/>
          <w:color w:val="000000"/>
          <w:sz w:val="28"/>
        </w:rPr>
        <w:t xml:space="preserve">
      2) көмірсутектерді өндіру жөніндегі операцияларды жүргізу үшін басқа тұлғаның пайдалануындағы, оның ішінде көмірсутектер бойынша жер қойнауын пайдалануға арналған келісімшартқа тау-кендік бөлуде айқындалған жер қойнауы учаскесі аумағының шегінде толық орналасқан блокқа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оның келісімінсіз жүргізілген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көмірсутектерді өндіруге арналған келісімшартты жасасу туралы қолданыстағы хаттамаға қатысты;</w:t>
      </w:r>
    </w:p>
    <w:p>
      <w:pPr>
        <w:spacing w:after="0"/>
        <w:ind w:left="0"/>
        <w:jc w:val="both"/>
      </w:pPr>
      <w:r>
        <w:rPr>
          <w:rFonts w:ascii="Times New Roman"/>
          <w:b w:val="false"/>
          <w:i w:val="false"/>
          <w:color w:val="000000"/>
          <w:sz w:val="28"/>
        </w:rPr>
        <w:t xml:space="preserve">
      3) жер қойнауы кеңістігін пайдалану жөніндегі операцияларды жүргізу үшін берілген жер қойнауы учаскесі аумағының шегінде толық орналасқан блокқа, оның ішінде барлаумен және (немесе) өндірумен байланысты емес жерасты құрылыстарын салуға және (немесе) пайдалануға арналған келісімшартқа тау-кендік бөлуде айқындалған келісімшарттық аумаққа, сондай-ақ оған қатысты барлаумен және (немесе) өндірумен байланысты емес жерасты құрылыстарын салуға және (немесе) пайдалануға келісімшарт жасасу туралы хаттама қолданылатын,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 нәтижелері бойынша не жер қойнауын пайдалану құқығын беруге арналған конкурс қорытындылары бойынша;</w:t>
      </w:r>
    </w:p>
    <w:p>
      <w:pPr>
        <w:spacing w:after="0"/>
        <w:ind w:left="0"/>
        <w:jc w:val="both"/>
      </w:pPr>
      <w:r>
        <w:rPr>
          <w:rFonts w:ascii="Times New Roman"/>
          <w:b w:val="false"/>
          <w:i w:val="false"/>
          <w:color w:val="000000"/>
          <w:sz w:val="28"/>
        </w:rPr>
        <w:t xml:space="preserve">
      4) пайдалы қатты қазбаларды барлауға арналған басқа лицензия бойынша пайдалы қатты қазбаларды барлау учаскесінің аумағына толық немесе ішінара жататын блокқа, оның ішінде пайдалы қатты қазбалар немесе кең таралған пайдалы қазбалар бойынша жер қойнауын пайдалануға арналған келісімшартқа геологиялық бөлуде айқындалған келісімшарттық аумаққа, сондай-ақ пайдалы қазбалардың кен орындарын барлау жөніндегі келісімшартқа геологиялық бөлуде айқындалған аумаққа қатысты,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келіссөздердің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барлауға келісімшарт жасасу туралы қолданыстағы хаттамаға қатысты;</w:t>
      </w:r>
    </w:p>
    <w:p>
      <w:pPr>
        <w:spacing w:after="0"/>
        <w:ind w:left="0"/>
        <w:jc w:val="both"/>
      </w:pPr>
      <w:r>
        <w:rPr>
          <w:rFonts w:ascii="Times New Roman"/>
          <w:b w:val="false"/>
          <w:i w:val="false"/>
          <w:color w:val="000000"/>
          <w:sz w:val="28"/>
        </w:rPr>
        <w:t xml:space="preserve">
      5) пайдалы қатты қазбаларды өндіру учаскесі аумағының немесе пайдалы қатты қазбаларды өндіруге лицензия беруге өтініш берілген аумақтың шегінде толық орналасқан блокқа, оның ішінде пайдалы қатты қазбалар немесе кең таралған пайдалы қазбалар бойынша келісімшартқа тау-кендік бөлуде айқындалған келісімшарттық аумаққа, сондай-ақ пайдалы қатты қазбаларды өндіру жөніндегі келісімшартқа тау-кендік бөлуде айқындалған аумаққа қатысты,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келіссөздердің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өндіруге келісімшарт жасасу туралы қолданыстағы хаттамаға қатысты;</w:t>
      </w:r>
    </w:p>
    <w:p>
      <w:pPr>
        <w:spacing w:after="0"/>
        <w:ind w:left="0"/>
        <w:jc w:val="both"/>
      </w:pPr>
      <w:r>
        <w:rPr>
          <w:rFonts w:ascii="Times New Roman"/>
          <w:b w:val="false"/>
          <w:i w:val="false"/>
          <w:color w:val="000000"/>
          <w:sz w:val="28"/>
        </w:rPr>
        <w:t>
      6) пайдалы қатты қазбаларды барлаудың немесе өндірудің салдарларын жою жүргізілетін аумақ шегінде толық орналасқан блокқа қатысты;</w:t>
      </w:r>
    </w:p>
    <w:p>
      <w:pPr>
        <w:spacing w:after="0"/>
        <w:ind w:left="0"/>
        <w:jc w:val="both"/>
      </w:pPr>
      <w:r>
        <w:rPr>
          <w:rFonts w:ascii="Times New Roman"/>
          <w:b w:val="false"/>
          <w:i w:val="false"/>
          <w:color w:val="000000"/>
          <w:sz w:val="28"/>
        </w:rPr>
        <w:t>
      7) толығымен уран өндіру учаскесі аумағының шегінде орналасқан блокқа қатысты беруге жол берілмейді.";</w:t>
      </w:r>
    </w:p>
    <w:bookmarkStart w:name="z6" w:id="4"/>
    <w:p>
      <w:pPr>
        <w:spacing w:after="0"/>
        <w:ind w:left="0"/>
        <w:jc w:val="both"/>
      </w:pPr>
      <w:r>
        <w:rPr>
          <w:rFonts w:ascii="Times New Roman"/>
          <w:b w:val="false"/>
          <w:i w:val="false"/>
          <w:color w:val="000000"/>
          <w:sz w:val="28"/>
        </w:rPr>
        <w:t>
      мынадай мазмұндағы 5-1-тармақпен толықтырылсын:</w:t>
      </w:r>
    </w:p>
    <w:bookmarkEnd w:id="4"/>
    <w:bookmarkStart w:name="z7" w:id="5"/>
    <w:p>
      <w:pPr>
        <w:spacing w:after="0"/>
        <w:ind w:left="0"/>
        <w:jc w:val="both"/>
      </w:pPr>
      <w:r>
        <w:rPr>
          <w:rFonts w:ascii="Times New Roman"/>
          <w:b w:val="false"/>
          <w:i w:val="false"/>
          <w:color w:val="000000"/>
          <w:sz w:val="28"/>
        </w:rPr>
        <w:t>
      "5-1. Пайдалы қатты қазбаларды барлауға арналған лицензия толық блоктардан басқа, сондай-ақ мынадай толық емес (ішінара) блоктарға қатысты беріледі:</w:t>
      </w:r>
    </w:p>
    <w:bookmarkEnd w:id="5"/>
    <w:p>
      <w:pPr>
        <w:spacing w:after="0"/>
        <w:ind w:left="0"/>
        <w:jc w:val="both"/>
      </w:pPr>
      <w:r>
        <w:rPr>
          <w:rFonts w:ascii="Times New Roman"/>
          <w:b w:val="false"/>
          <w:i w:val="false"/>
          <w:color w:val="000000"/>
          <w:sz w:val="28"/>
        </w:rPr>
        <w:t>
      1) жақтары толығымен қамтылған блок:</w:t>
      </w:r>
    </w:p>
    <w:p>
      <w:pPr>
        <w:spacing w:after="0"/>
        <w:ind w:left="0"/>
        <w:jc w:val="both"/>
      </w:pPr>
      <w:r>
        <w:rPr>
          <w:rFonts w:ascii="Times New Roman"/>
          <w:b w:val="false"/>
          <w:i w:val="false"/>
          <w:color w:val="000000"/>
          <w:sz w:val="28"/>
        </w:rPr>
        <w:t xml:space="preserve">
      көмірсутектерді өндіру жөніндегі операцияларды жүргізу үшін басқа тұлғаның пайдалануындағы, оның ішінде көмірсутектер бойынша жер қойнауын пайдалануға арналған келісімшартқа тау-кендік бөлумен айқындалған жер қойнауы учаскесінің аумағы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жүргізілген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көмірсутектерді өндіруге арналған келісімшартты жасасу туралы қолданыстағы хаттамамен;</w:t>
      </w:r>
    </w:p>
    <w:p>
      <w:pPr>
        <w:spacing w:after="0"/>
        <w:ind w:left="0"/>
        <w:jc w:val="both"/>
      </w:pPr>
      <w:r>
        <w:rPr>
          <w:rFonts w:ascii="Times New Roman"/>
          <w:b w:val="false"/>
          <w:i w:val="false"/>
          <w:color w:val="000000"/>
          <w:sz w:val="28"/>
        </w:rPr>
        <w:t xml:space="preserve">
      жер қойнауы кеңістігін пайдалану жөніндегі операцияларды жүргізу үшін берілген, оның ішінде барлаумен және (немесе) өндірумен байланысты емес жерасты құрылыстарын салуға және (немесе) пайдалануға арналған келісімшартқа тау-кендік бөлумен айқындалған жер қойнауы учаскесінің аумағы не тікелей келіссөздер нәтижелері бойынша немесе жер қойнауын пайдалану құқығын беруге арналған конкурс қорытындылары бойынша қол қойылған, Қазақстан Республикасының жер қойнауын пайдалану туралы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w:t>
      </w:r>
    </w:p>
    <w:p>
      <w:pPr>
        <w:spacing w:after="0"/>
        <w:ind w:left="0"/>
        <w:jc w:val="both"/>
      </w:pPr>
      <w:r>
        <w:rPr>
          <w:rFonts w:ascii="Times New Roman"/>
          <w:b w:val="false"/>
          <w:i w:val="false"/>
          <w:color w:val="000000"/>
          <w:sz w:val="28"/>
        </w:rPr>
        <w:t xml:space="preserve">
      пайдалы қатты қазбаларды өндіру учаскесінің аумағы немесе пайдалы қатты қазбаларды өндіруге лицензия беруге, оның ішінде пайдалы қатты қазбалар немесе кең таралған пайдалы қазбалар бойынша келісімшартқа тау-кендік бөлумен айқындалған өтініш берілген аумақ не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енгізілуіне дейін болған тікелей келіссөздер нәтижелері бойынша не жер қойнауын пайдалану құқығын беруге арналған конкурстың қорытындылары бойынша қол қойылған пайдалы қатты қазбаларды немесе кең таралған пайдалы қазбаларды өндіруге арналған келісімшартты жасасу туралы қолданыстағы хаттамамен;</w:t>
      </w:r>
    </w:p>
    <w:p>
      <w:pPr>
        <w:spacing w:after="0"/>
        <w:ind w:left="0"/>
        <w:jc w:val="both"/>
      </w:pPr>
      <w:r>
        <w:rPr>
          <w:rFonts w:ascii="Times New Roman"/>
          <w:b w:val="false"/>
          <w:i w:val="false"/>
          <w:color w:val="000000"/>
          <w:sz w:val="28"/>
        </w:rPr>
        <w:t>
      пайдалы қатты қазбаларды барлаудың немесе өндірудің салдарларын жою жүргізілетін аумақ;</w:t>
      </w:r>
    </w:p>
    <w:p>
      <w:pPr>
        <w:spacing w:after="0"/>
        <w:ind w:left="0"/>
        <w:jc w:val="both"/>
      </w:pPr>
      <w:r>
        <w:rPr>
          <w:rFonts w:ascii="Times New Roman"/>
          <w:b w:val="false"/>
          <w:i w:val="false"/>
          <w:color w:val="000000"/>
          <w:sz w:val="28"/>
        </w:rPr>
        <w:t>
      уран өндіру учаскесінің аумағы;</w:t>
      </w:r>
    </w:p>
    <w:p>
      <w:pPr>
        <w:spacing w:after="0"/>
        <w:ind w:left="0"/>
        <w:jc w:val="both"/>
      </w:pPr>
      <w:r>
        <w:rPr>
          <w:rFonts w:ascii="Times New Roman"/>
          <w:b w:val="false"/>
          <w:i w:val="false"/>
          <w:color w:val="000000"/>
          <w:sz w:val="28"/>
        </w:rPr>
        <w:t>
      2) осы тармақтың 1) тармақшасында көрсетілген аумақтарда (аумақтарда) ішінара орналасқан блок, егер мұндай блоктың басқа толық емес (ішінара) немесе толық блокпен ең болмағанда бір ортақ жағы болса және мұндай жалпы тарап көрсетілген аумақтарда орналаспаса;</w:t>
      </w:r>
    </w:p>
    <w:p>
      <w:pPr>
        <w:spacing w:after="0"/>
        <w:ind w:left="0"/>
        <w:jc w:val="both"/>
      </w:pPr>
      <w:r>
        <w:rPr>
          <w:rFonts w:ascii="Times New Roman"/>
          <w:b w:val="false"/>
          <w:i w:val="false"/>
          <w:color w:val="000000"/>
          <w:sz w:val="28"/>
        </w:rPr>
        <w:t xml:space="preserve">
      3)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жататын блок.</w:t>
      </w:r>
    </w:p>
    <w:p>
      <w:pPr>
        <w:spacing w:after="0"/>
        <w:ind w:left="0"/>
        <w:jc w:val="both"/>
      </w:pPr>
      <w:r>
        <w:rPr>
          <w:rFonts w:ascii="Times New Roman"/>
          <w:b w:val="false"/>
          <w:i w:val="false"/>
          <w:color w:val="000000"/>
          <w:sz w:val="28"/>
        </w:rPr>
        <w:t>
      Көмірсутектерді немесе пайдалы қатты қазбаларды өндіру жөніндегі операцияларды жүргізу үшін ішінара жер қойнауы учаскесінің аумағына келетін блокты барлауға арналған лицензияға қосуға осы учаскелер бойынша жер қойнауын пайдаланушылардың жазбаша келісімімен ғана жол беріледі.</w:t>
      </w:r>
    </w:p>
    <w:p>
      <w:pPr>
        <w:spacing w:after="0"/>
        <w:ind w:left="0"/>
        <w:jc w:val="both"/>
      </w:pPr>
      <w:r>
        <w:rPr>
          <w:rFonts w:ascii="Times New Roman"/>
          <w:b w:val="false"/>
          <w:i w:val="false"/>
          <w:color w:val="000000"/>
          <w:sz w:val="28"/>
        </w:rPr>
        <w:t>
      Толық емес (ішінара) блоктарға қатысты лицензия берілген жағдайда барлау учаскесінің аумағы, оның ішінде осы тармақтың бірінші бөлігінің 1), 2) және 3) тармақшаларында көрсетілген аумақтардың шекаралары бойынша осындай толық емес (ішінара) блоктардан құрылған болып есептеледі. Барлауға арналған лицензияға енгізілген толық емес (ішінара) блокты қалыптастыру үшін негіз болған мән-жайлар тоқтатылған кезде осы блок барлау учаскесі аумағының шекараларын айқындау мақсатында толық деп танылады.</w:t>
      </w:r>
    </w:p>
    <w:p>
      <w:pPr>
        <w:spacing w:after="0"/>
        <w:ind w:left="0"/>
        <w:jc w:val="both"/>
      </w:pPr>
      <w:r>
        <w:rPr>
          <w:rFonts w:ascii="Times New Roman"/>
          <w:b w:val="false"/>
          <w:i w:val="false"/>
          <w:color w:val="000000"/>
          <w:sz w:val="28"/>
        </w:rPr>
        <w:t xml:space="preserve">
      Осы тармақтың үшінші бөлігінде көзделген ереже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жататын және барлау учаскесінің аумағына енгізілген блоктарға қолданылмайды. Осындай блоктар шегінде осы блоктар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аумақтар мен объектілерді қозғайтын бөлігінде жер қойнауын пайдалану жөніндегі операцияларды жүргізуге тыйым салу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"7. Өтініште мынадай мәліметтер қамтылады:</w:t>
      </w:r>
    </w:p>
    <w:bookmarkEnd w:id="6"/>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p>
      <w:pPr>
        <w:spacing w:after="0"/>
        <w:ind w:left="0"/>
        <w:jc w:val="both"/>
      </w:pPr>
      <w:r>
        <w:rPr>
          <w:rFonts w:ascii="Times New Roman"/>
          <w:b w:val="false"/>
          <w:i w:val="false"/>
          <w:color w:val="000000"/>
          <w:sz w:val="28"/>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 туралы, өтініш иесін тікелей немесе жанама түрде бақылайтын заңды және жеке тұлғалар, мемлекеттер және халықаралық ұйымдар туралы мәліметтер;</w:t>
      </w:r>
    </w:p>
    <w:p>
      <w:pPr>
        <w:spacing w:after="0"/>
        <w:ind w:left="0"/>
        <w:jc w:val="both"/>
      </w:pPr>
      <w:r>
        <w:rPr>
          <w:rFonts w:ascii="Times New Roman"/>
          <w:b w:val="false"/>
          <w:i w:val="false"/>
          <w:color w:val="000000"/>
          <w:sz w:val="28"/>
        </w:rPr>
        <w:t xml:space="preserve">
      2) Кодекстің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барлау аумағын құрайтын (құраушы) және өтініш беруші пайдалануға беруді сұрайтын жер қойнауы учаскесін айқындайтын (айқындайтын) блокты (блоктарды) көрсету.</w:t>
      </w:r>
    </w:p>
    <w:p>
      <w:pPr>
        <w:spacing w:after="0"/>
        <w:ind w:left="0"/>
        <w:jc w:val="both"/>
      </w:pPr>
      <w:r>
        <w:rPr>
          <w:rFonts w:ascii="Times New Roman"/>
          <w:b w:val="false"/>
          <w:i w:val="false"/>
          <w:color w:val="000000"/>
          <w:sz w:val="28"/>
        </w:rPr>
        <w:t xml:space="preserve">
      Өтініште көрсетілген барлау аумағы, егер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блоктың бір бөлігін қамтыса, лицензияның шарттарын айқындау мақсаттары үшін өтінішті қарау кезінде аталған блок толық болып есептеледі.</w:t>
      </w:r>
    </w:p>
    <w:p>
      <w:pPr>
        <w:spacing w:after="0"/>
        <w:ind w:left="0"/>
        <w:jc w:val="both"/>
      </w:pPr>
      <w:r>
        <w:rPr>
          <w:rFonts w:ascii="Times New Roman"/>
          <w:b w:val="false"/>
          <w:i w:val="false"/>
          <w:color w:val="000000"/>
          <w:sz w:val="28"/>
        </w:rPr>
        <w:t xml:space="preserve">
      Мәлімделген аумақтың Кодекстің 19-бабының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барлау аумағын қалыптастыру туралы талаптарға сәйкес келмеуі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1) тармақшасына сәйкес лицензия беруден бас тарту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 Өтініш иесінің барлау жөніндегі операцияларды жүргізу үшін жеткілікті қаржылық мүмкіндігінің болуын растау үшін мынадай құжаттардың бірі:</w:t>
      </w:r>
    </w:p>
    <w:bookmarkEnd w:id="7"/>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үш ай шегіндегі отыз күндік мерзім ішінде сұралатын лицензия қолданысының алғашқы жылында барлауға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банктік шоты бойынша ақшаның қалдығы және қозғалысы туралы үзінді көшірме.</w:t>
      </w:r>
    </w:p>
    <w:p>
      <w:pPr>
        <w:spacing w:after="0"/>
        <w:ind w:left="0"/>
        <w:jc w:val="both"/>
      </w:pPr>
      <w:r>
        <w:rPr>
          <w:rFonts w:ascii="Times New Roman"/>
          <w:b w:val="false"/>
          <w:i w:val="false"/>
          <w:color w:val="000000"/>
          <w:sz w:val="28"/>
        </w:rPr>
        <w:t>
      Егер қаражат қозғалысы бойынша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аз болса, онда мұндай үзінді-көшірме өтініш берушінің қаржылық мүмкіндіктерінің болуын растайтын құжат болып танылмайды. Өтініш берушіде қаржылық мүмкіндіктерді растау мақсаттары үшін бір Екінші деңгейдегі банкте бірнеше шоттар болған кезде жиынтығында үзінді-көшірмелер ұсынылған бірнеше шоттар бойынша ақша қаражатының қалдығы және қозғалысы туралы мәліметтер де ескерілуі мүмкін;</w:t>
      </w:r>
    </w:p>
    <w:p>
      <w:pPr>
        <w:spacing w:after="0"/>
        <w:ind w:left="0"/>
        <w:jc w:val="both"/>
      </w:pPr>
      <w:r>
        <w:rPr>
          <w:rFonts w:ascii="Times New Roman"/>
          <w:b w:val="false"/>
          <w:i w:val="false"/>
          <w:color w:val="000000"/>
          <w:sz w:val="28"/>
        </w:rPr>
        <w:t>
      2) ақша қарызы шартының (алдын ала қарыз шарты) немесе қарыздың нысаналы мақсаты ретінде өтініш иесінің пайдалы қатты қазбаларды барлау жөніндегі қызметін қаржыландыру, сондай-ақ сұралатын лицензия қолданысының алғашқы жылында барлауға талап етілетін ең төмен шығыстарды өтеу үшін жеткілікті қарыз сомасы (қаржыландыру) расталатын, қызметті қаржыландыру туралы шарттың көшірмесі;</w:t>
      </w:r>
    </w:p>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барлауға арналған ең төмен шығыстардың шамасындағы міндеттемесінен асып түседі;</w:t>
      </w:r>
    </w:p>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 ұсынылады.</w:t>
      </w:r>
    </w:p>
    <w:p>
      <w:pPr>
        <w:spacing w:after="0"/>
        <w:ind w:left="0"/>
        <w:jc w:val="both"/>
      </w:pPr>
      <w:r>
        <w:rPr>
          <w:rFonts w:ascii="Times New Roman"/>
          <w:b w:val="false"/>
          <w:i w:val="false"/>
          <w:color w:val="000000"/>
          <w:sz w:val="28"/>
        </w:rPr>
        <w:t>
      Егер өтініш иесінің қаржылай мүмкіндіктерінің болуын растайтын құжат ретінде қаржы ұйымы болып табылмайтын тұлға (қаржыландыратын) қарыз беруші болатын ақша қарызы шартының (алдын ала қарыз шарты) немесе қызметті қаржыландыру туралы шарттың көшірмесі ұсынылса, өтінішке қосымша осы тұлғада осы тармақтың 1), 3) немесе 4) тармақшаларында көзделген қаржылай мүмкіндіктерінің болуын растайтын құжаттардың бірі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"17. Құзыретті орган өтінішті келіп түскен күннен бастап он жұмыс күні ішінде қарайды және пайдалы қатты қазбаларды барлауға лицензия беруден бас тартуға осы Қағидалардың 25-тармағының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негіздер болмаған кезде, сондай-ақ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19-тармақтарының</w:t>
      </w:r>
      <w:r>
        <w:rPr>
          <w:rFonts w:ascii="Times New Roman"/>
          <w:b w:val="false"/>
          <w:i w:val="false"/>
          <w:color w:val="000000"/>
          <w:sz w:val="28"/>
        </w:rPr>
        <w:t xml:space="preserve"> ережелерін ескере отырып, өтініш берушіге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пайдалы қатты қазбаларды барлау жөніндегі операциялардың салдарын жою бойынша міндеттемелерді орындауды қамтамасыз етуді ұсыну қажеттігі туралы хабарлама жібереді.</w:t>
      </w:r>
    </w:p>
    <w:bookmarkEnd w:id="8"/>
    <w:p>
      <w:pPr>
        <w:spacing w:after="0"/>
        <w:ind w:left="0"/>
        <w:jc w:val="both"/>
      </w:pPr>
      <w:r>
        <w:rPr>
          <w:rFonts w:ascii="Times New Roman"/>
          <w:b w:val="false"/>
          <w:i w:val="false"/>
          <w:color w:val="000000"/>
          <w:sz w:val="28"/>
        </w:rPr>
        <w:t>
      Хабарлама өтініш берушіге жіберілген күнінен бастап бес жұмыс күні ішінде құзыретті органның интернет-ресурсында орналастырылады.</w:t>
      </w:r>
    </w:p>
    <w:p>
      <w:pPr>
        <w:spacing w:after="0"/>
        <w:ind w:left="0"/>
        <w:jc w:val="both"/>
      </w:pPr>
      <w:r>
        <w:rPr>
          <w:rFonts w:ascii="Times New Roman"/>
          <w:b w:val="false"/>
          <w:i w:val="false"/>
          <w:color w:val="000000"/>
          <w:sz w:val="28"/>
        </w:rPr>
        <w:t>
      Өтініш беруші пайдалы қатты қазбаларды барлау жөніндегі операциялардың салдарын жою бойынша міндеттемелерді орындауды қамтамасыз етуді хабарлама жіберілген күннен бастап қырық жұмыс күнінен кешіктірмей құзыретті органға ұсынылады.</w:t>
      </w:r>
    </w:p>
    <w:p>
      <w:pPr>
        <w:spacing w:after="0"/>
        <w:ind w:left="0"/>
        <w:jc w:val="both"/>
      </w:pPr>
      <w:r>
        <w:rPr>
          <w:rFonts w:ascii="Times New Roman"/>
          <w:b w:val="false"/>
          <w:i w:val="false"/>
          <w:color w:val="000000"/>
          <w:sz w:val="28"/>
        </w:rPr>
        <w:t>
      Құзыретті орган өтініш берушіге пайдалы қатты қазбаларды барлау жөніндегі операциялардың салдарын жою бойынша міндеттемелерді орындауды тиісінше қамтамасыз ету ұсынылған күннен бастап бес жұмыс күнінен кешіктірмей пайдалы қатты қазбаларды барлауға лицензия береді не хабарлама құзыретті органның интернет-ресурсында орналастырылған күннен бастап отыз бес жұмыс күні өткен соң оны беруден бас тартады.</w:t>
      </w:r>
    </w:p>
    <w:bookmarkStart w:name="z14" w:id="9"/>
    <w:p>
      <w:pPr>
        <w:spacing w:after="0"/>
        <w:ind w:left="0"/>
        <w:jc w:val="both"/>
      </w:pPr>
      <w:r>
        <w:rPr>
          <w:rFonts w:ascii="Times New Roman"/>
          <w:b w:val="false"/>
          <w:i w:val="false"/>
          <w:color w:val="000000"/>
          <w:sz w:val="28"/>
        </w:rPr>
        <w:t xml:space="preserve">
      18. Егер өтініште көрсетілген аумаққа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7) тармақшаларында көзделген блок немесе мәлімделген аумақтың басқа блогымен ортақ жағы жоқ блок жатқызылса, мұндай блок лицензияға енгізілмейді, бұл туралы құзыретті орган өтініш берушіні хабардар етеді. Өтініш беруші хабарламаны алған күннен бастап бес жұмыс күні ішінде өзіне берілуге жататын барлық блоктан немесе олардың бір бөлігінен бас тартады. Егер көрсетілген мерзім өткеннен кейін өтініш беруші барлық блоктардан бас тартпаса немесе блоктардың бір бөлігінен бас тартса, өтініш осы тармақтың ережелері ескеріліп мәні бойынша қаралады.</w:t>
      </w:r>
    </w:p>
    <w:bookmarkEnd w:id="9"/>
    <w:p>
      <w:pPr>
        <w:spacing w:after="0"/>
        <w:ind w:left="0"/>
        <w:jc w:val="both"/>
      </w:pPr>
      <w:r>
        <w:rPr>
          <w:rFonts w:ascii="Times New Roman"/>
          <w:b w:val="false"/>
          <w:i w:val="false"/>
          <w:color w:val="000000"/>
          <w:sz w:val="28"/>
        </w:rPr>
        <w:t xml:space="preserve">
      Осы тармақтың бірінші бөлігіне сәйкес жіберілетін хабарламада мәлімделген аумақтың </w:t>
      </w:r>
      <w:r>
        <w:rPr>
          <w:rFonts w:ascii="Times New Roman"/>
          <w:b w:val="false"/>
          <w:i w:val="false"/>
          <w:color w:val="000000"/>
          <w:sz w:val="28"/>
        </w:rPr>
        <w:t>Кодекс</w:t>
      </w:r>
      <w:r>
        <w:rPr>
          <w:rFonts w:ascii="Times New Roman"/>
          <w:b w:val="false"/>
          <w:i w:val="false"/>
          <w:color w:val="000000"/>
          <w:sz w:val="28"/>
        </w:rPr>
        <w:t xml:space="preserve"> талаптарына анықталған сәйкессіздіктері туралы көрсетіледі.</w:t>
      </w:r>
    </w:p>
    <w:p>
      <w:pPr>
        <w:spacing w:after="0"/>
        <w:ind w:left="0"/>
        <w:jc w:val="both"/>
      </w:pPr>
      <w:r>
        <w:rPr>
          <w:rFonts w:ascii="Times New Roman"/>
          <w:b w:val="false"/>
          <w:i w:val="false"/>
          <w:color w:val="000000"/>
          <w:sz w:val="28"/>
        </w:rPr>
        <w:t xml:space="preserve">
      Егер өтініште көрсетілген қандай да бір толық емес (ішінара) блок немесе толық емес (ішінара) блоктар осы Қағидалардың 5-1-тармағының 1), 2) және 3) тармақшаларында көзделген шарттарға сай келмесе, аталған блок (блоктар) сондай-ақ Кодекстің </w:t>
      </w:r>
      <w:r>
        <w:rPr>
          <w:rFonts w:ascii="Times New Roman"/>
          <w:b w:val="false"/>
          <w:i w:val="false"/>
          <w:color w:val="000000"/>
          <w:sz w:val="28"/>
        </w:rPr>
        <w:t>188-бабының</w:t>
      </w:r>
      <w:r>
        <w:rPr>
          <w:rFonts w:ascii="Times New Roman"/>
          <w:b w:val="false"/>
          <w:i w:val="false"/>
          <w:color w:val="000000"/>
          <w:sz w:val="28"/>
        </w:rPr>
        <w:t xml:space="preserve"> бірінші бөлігінің қағидалары бойынша лицензияға енгізіледі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"21. Егер лицензия беруге өтініште көрсетілген блок толық болмаса, мұндай толық емес блок, Кодекстің </w:t>
      </w:r>
      <w:r>
        <w:rPr>
          <w:rFonts w:ascii="Times New Roman"/>
          <w:b w:val="false"/>
          <w:i w:val="false"/>
          <w:color w:val="000000"/>
          <w:sz w:val="28"/>
        </w:rPr>
        <w:t>27-тарауының</w:t>
      </w:r>
      <w:r>
        <w:rPr>
          <w:rFonts w:ascii="Times New Roman"/>
          <w:b w:val="false"/>
          <w:i w:val="false"/>
          <w:color w:val="000000"/>
          <w:sz w:val="28"/>
        </w:rPr>
        <w:t xml:space="preserve"> ережелеріне қайшы келмейтін жағдайда берілетін лицензияға енгізілуге жатады.</w:t>
      </w:r>
    </w:p>
    <w:bookmarkEnd w:id="10"/>
    <w:p>
      <w:pPr>
        <w:spacing w:after="0"/>
        <w:ind w:left="0"/>
        <w:jc w:val="both"/>
      </w:pPr>
      <w:r>
        <w:rPr>
          <w:rFonts w:ascii="Times New Roman"/>
          <w:b w:val="false"/>
          <w:i w:val="false"/>
          <w:color w:val="000000"/>
          <w:sz w:val="28"/>
        </w:rPr>
        <w:t>
      Егер пайдалы қатты қазбаларды барлауға берілген лицензияда толық емес (ішінара) блок қамтылса, блоктар санын есептеу мақсаттары үшін осы блок толық болып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"24. Осы өтінішті қарау кезінде пайдалы қатты қазбаларды барлауға арналған басқа лицензияға енгізілген блоктарды ғана қамтитын пайдалы қатты қазбаларды барлауға лицензия беруге арналған өтініш бойынша лицензия беруден бас тарту туралы шешім қабылданады.</w:t>
      </w:r>
    </w:p>
    <w:bookmarkEnd w:id="11"/>
    <w:bookmarkStart w:name="z19" w:id="12"/>
    <w:p>
      <w:pPr>
        <w:spacing w:after="0"/>
        <w:ind w:left="0"/>
        <w:jc w:val="both"/>
      </w:pPr>
      <w:r>
        <w:rPr>
          <w:rFonts w:ascii="Times New Roman"/>
          <w:b w:val="false"/>
          <w:i w:val="false"/>
          <w:color w:val="000000"/>
          <w:sz w:val="28"/>
        </w:rPr>
        <w:t>
      25. Құзыретті орган мынадай негіздемелердің бірі болған кезде:</w:t>
      </w:r>
    </w:p>
    <w:bookmarkEnd w:id="12"/>
    <w:p>
      <w:pPr>
        <w:spacing w:after="0"/>
        <w:ind w:left="0"/>
        <w:jc w:val="both"/>
      </w:pPr>
      <w:r>
        <w:rPr>
          <w:rFonts w:ascii="Times New Roman"/>
          <w:b w:val="false"/>
          <w:i w:val="false"/>
          <w:color w:val="000000"/>
          <w:sz w:val="28"/>
        </w:rPr>
        <w:t xml:space="preserve">
      1) өтініш немесе оған қоса берілетін құжаттар </w:t>
      </w:r>
      <w:r>
        <w:rPr>
          <w:rFonts w:ascii="Times New Roman"/>
          <w:b w:val="false"/>
          <w:i w:val="false"/>
          <w:color w:val="000000"/>
          <w:sz w:val="28"/>
        </w:rPr>
        <w:t>Кодекспен</w:t>
      </w:r>
      <w:r>
        <w:rPr>
          <w:rFonts w:ascii="Times New Roman"/>
          <w:b w:val="false"/>
          <w:i w:val="false"/>
          <w:color w:val="000000"/>
          <w:sz w:val="28"/>
        </w:rPr>
        <w:t xml:space="preserve"> көзделген талаптарға сәйкес келмесе;</w:t>
      </w:r>
    </w:p>
    <w:p>
      <w:pPr>
        <w:spacing w:after="0"/>
        <w:ind w:left="0"/>
        <w:jc w:val="both"/>
      </w:pPr>
      <w:r>
        <w:rPr>
          <w:rFonts w:ascii="Times New Roman"/>
          <w:b w:val="false"/>
          <w:i w:val="false"/>
          <w:color w:val="000000"/>
          <w:sz w:val="28"/>
        </w:rPr>
        <w:t>
      2) осы Қағидаларда талап етілетін құжаттар өтінішке қоса берілмесе;</w:t>
      </w:r>
    </w:p>
    <w:p>
      <w:pPr>
        <w:spacing w:after="0"/>
        <w:ind w:left="0"/>
        <w:jc w:val="both"/>
      </w:pPr>
      <w:r>
        <w:rPr>
          <w:rFonts w:ascii="Times New Roman"/>
          <w:b w:val="false"/>
          <w:i w:val="false"/>
          <w:color w:val="000000"/>
          <w:sz w:val="28"/>
        </w:rPr>
        <w:t>
      3) өтініш берілгенге дейін бір жыл ішінде өтініш иесінің немесе өтініш иесін тікелей немесе жанама түрде бақылайтын немесе оның бақылауындағы тұлғаның барлауға арналған лицензиясын немесе сұралатын жер қойнауы учаскесін толық немесе ішінара қамтитын пайдалы қатты қазбаларды өндіруге арналған лицензиясын кері қайтарып алса;</w:t>
      </w:r>
    </w:p>
    <w:p>
      <w:pPr>
        <w:spacing w:after="0"/>
        <w:ind w:left="0"/>
        <w:jc w:val="both"/>
      </w:pPr>
      <w:r>
        <w:rPr>
          <w:rFonts w:ascii="Times New Roman"/>
          <w:b w:val="false"/>
          <w:i w:val="false"/>
          <w:color w:val="000000"/>
          <w:sz w:val="28"/>
        </w:rPr>
        <w:t xml:space="preserve">
      4) сұралатын аумақ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аумаққа және (немесе) блоктарға толық жататын болса;</w:t>
      </w:r>
    </w:p>
    <w:p>
      <w:pPr>
        <w:spacing w:after="0"/>
        <w:ind w:left="0"/>
        <w:jc w:val="both"/>
      </w:pPr>
      <w:r>
        <w:rPr>
          <w:rFonts w:ascii="Times New Roman"/>
          <w:b w:val="false"/>
          <w:i w:val="false"/>
          <w:color w:val="000000"/>
          <w:sz w:val="28"/>
        </w:rPr>
        <w:t>
      5) өтініш берілгенге дейін күнтізбелік бір жыл ішінде өтініш иесі немесе өтініш иесін тікелей немесе жанама түрде бақылайтын немесе оның бақылауындағы тұлға сұралатын жер қойнауы учаскесінен немесе оның бір бөлігінен бас тартса;</w:t>
      </w:r>
    </w:p>
    <w:p>
      <w:pPr>
        <w:spacing w:after="0"/>
        <w:ind w:left="0"/>
        <w:jc w:val="both"/>
      </w:pPr>
      <w:r>
        <w:rPr>
          <w:rFonts w:ascii="Times New Roman"/>
          <w:b w:val="false"/>
          <w:i w:val="false"/>
          <w:color w:val="000000"/>
          <w:sz w:val="28"/>
        </w:rPr>
        <w:t>
      6) лицензияны беру елдің ұлттық қауіпсіздігіне қауіп төндіруге немесе жер қойнауын пайдалану құқықтарының шоғырлануына алып келетін болса;</w:t>
      </w:r>
    </w:p>
    <w:p>
      <w:pPr>
        <w:spacing w:after="0"/>
        <w:ind w:left="0"/>
        <w:jc w:val="both"/>
      </w:pPr>
      <w:r>
        <w:rPr>
          <w:rFonts w:ascii="Times New Roman"/>
          <w:b w:val="false"/>
          <w:i w:val="false"/>
          <w:color w:val="000000"/>
          <w:sz w:val="28"/>
        </w:rPr>
        <w:t>
      7) сұралатын жер қойнауы учаскесінің аумағы көлемі бойынша шектеуден асып кетсе немесе осы Қағидаларда белгіленген талаптарға сәйкес келмесе;</w:t>
      </w:r>
    </w:p>
    <w:p>
      <w:pPr>
        <w:spacing w:after="0"/>
        <w:ind w:left="0"/>
        <w:jc w:val="both"/>
      </w:pPr>
      <w:r>
        <w:rPr>
          <w:rFonts w:ascii="Times New Roman"/>
          <w:b w:val="false"/>
          <w:i w:val="false"/>
          <w:color w:val="000000"/>
          <w:sz w:val="28"/>
        </w:rPr>
        <w:t>
      8) өтініш берілген күн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 болған жер қойнауы учаскелерінде жер қойнауын пайдалану жөніндегі операциялардың салдарын жою бойынша міндеттемелерін орындамаса немесе тиісінше орындамаса лицензия беруден бас тартады;</w:t>
      </w:r>
    </w:p>
    <w:p>
      <w:pPr>
        <w:spacing w:after="0"/>
        <w:ind w:left="0"/>
        <w:jc w:val="both"/>
      </w:pPr>
      <w:r>
        <w:rPr>
          <w:rFonts w:ascii="Times New Roman"/>
          <w:b w:val="false"/>
          <w:i w:val="false"/>
          <w:color w:val="000000"/>
          <w:sz w:val="28"/>
        </w:rPr>
        <w:t xml:space="preserve">
      9) өтініш берушінің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пайдалы қатты қазбаларды барлау жөніндегі операциялардың салдарын жою жөніндегі міндеттемелердің орындалуын тиісінше қамтамасыз ету мерзімін сақтамауы.</w:t>
      </w:r>
    </w:p>
    <w:p>
      <w:pPr>
        <w:spacing w:after="0"/>
        <w:ind w:left="0"/>
        <w:jc w:val="both"/>
      </w:pPr>
      <w:r>
        <w:rPr>
          <w:rFonts w:ascii="Times New Roman"/>
          <w:b w:val="false"/>
          <w:i w:val="false"/>
          <w:color w:val="000000"/>
          <w:sz w:val="28"/>
        </w:rPr>
        <w:t>
      Өтініште көрсетілген мәліметтерде (блок (блоктар) туралы мәліметтерден басқа) мәні бойынша лицензия беру туралы шешім қабылдауға әсер етпейтін және өтінішке қоса берілетін құжаттармен салыстырып тексеру арқылы анықталады, сондай-ақ тексеріледі грамматикалық немесе арифметикалық қателердің, қате жазулардың болуы лицензия беруден бас тарту үшін негіз болып табылмайды.".</w:t>
      </w:r>
    </w:p>
    <w:bookmarkStart w:name="z20"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2" w:id="1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24" w:id="17"/>
    <w:p>
      <w:pPr>
        <w:spacing w:after="0"/>
        <w:ind w:left="0"/>
        <w:jc w:val="both"/>
      </w:pPr>
      <w:r>
        <w:rPr>
          <w:rFonts w:ascii="Times New Roman"/>
          <w:b w:val="false"/>
          <w:i w:val="false"/>
          <w:color w:val="000000"/>
          <w:sz w:val="28"/>
        </w:rPr>
        <w:t>
      4. Осы бұйрық 2023 жылғы 1 қаңтардан бастап қолданысқа енгізілетін осы бұйрықтың 1-тармағының бесінші абзацын қоспағанда,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