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edca" w14:textId="72eed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Хаб" халықаралық технологиялық паркі қызметінің қағидаларын бекіту туралы" Қазақстан Республикасы Ақпарат және коммуникациялар министрінің 2018 жылғы 26 қыркүйектегі № 415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2021 жылғы 12 тамыздағы № 277/НҚ бұйрығы. Қазақстан Республикасының Әділет министрлігінде 2021 жылғы 13 тамызда № 23981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"Астана Хаб" халықаралық технологиялық паркі қызметінің қағидаларын бекіту туралы" Қазақстан Республикасы Ақпарат және коммуникациялар министрінің 2018 жылғы 26 қыркүйектегі № 415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17437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"3. Технопарктің функцияларына:</w:t>
      </w:r>
    </w:p>
    <w:bookmarkEnd w:id="2"/>
    <w:p>
      <w:pPr>
        <w:spacing w:after="0"/>
        <w:ind w:left="0"/>
        <w:jc w:val="both"/>
      </w:pPr>
      <w:r>
        <w:rPr>
          <w:rFonts w:ascii="Times New Roman"/>
          <w:b w:val="false"/>
          <w:i w:val="false"/>
          <w:color w:val="000000"/>
          <w:sz w:val="28"/>
        </w:rPr>
        <w:t>
      1) Технопарк қатысушыларына акселерация, технологиялық бизнес-инкубациялау қызметін көрсету;</w:t>
      </w:r>
    </w:p>
    <w:p>
      <w:pPr>
        <w:spacing w:after="0"/>
        <w:ind w:left="0"/>
        <w:jc w:val="both"/>
      </w:pPr>
      <w:r>
        <w:rPr>
          <w:rFonts w:ascii="Times New Roman"/>
          <w:b w:val="false"/>
          <w:i w:val="false"/>
          <w:color w:val="000000"/>
          <w:sz w:val="28"/>
        </w:rPr>
        <w:t>
      2) Технопарк қатысушылары үшін маркетинг және өзге де іс-шараларды өткізу бойынша қызметтер ұсыну;</w:t>
      </w:r>
    </w:p>
    <w:p>
      <w:pPr>
        <w:spacing w:after="0"/>
        <w:ind w:left="0"/>
        <w:jc w:val="both"/>
      </w:pPr>
      <w:r>
        <w:rPr>
          <w:rFonts w:ascii="Times New Roman"/>
          <w:b w:val="false"/>
          <w:i w:val="false"/>
          <w:color w:val="000000"/>
          <w:sz w:val="28"/>
        </w:rPr>
        <w:t>
      3) Технопарк қатысушыларын дамытуды ынталандыру үшін консультациялық, ақпараттық, талдамалық, білім беру іс-шараларын өткізу бойынша қызметтер көрсету;</w:t>
      </w:r>
    </w:p>
    <w:p>
      <w:pPr>
        <w:spacing w:after="0"/>
        <w:ind w:left="0"/>
        <w:jc w:val="both"/>
      </w:pPr>
      <w:r>
        <w:rPr>
          <w:rFonts w:ascii="Times New Roman"/>
          <w:b w:val="false"/>
          <w:i w:val="false"/>
          <w:color w:val="000000"/>
          <w:sz w:val="28"/>
        </w:rPr>
        <w:t>
      4) Технопарк қатысушыларын дамытуды ынталандыру үшін ақпараттық, білім беру және қаржылық ресурстарды тарту, халықаралық тәжірибені зерделеу және білім алмасу мақсатында халықаралық ұйымдармен, шетелдік серіктестермен ынтымақтасу;</w:t>
      </w:r>
    </w:p>
    <w:p>
      <w:pPr>
        <w:spacing w:after="0"/>
        <w:ind w:left="0"/>
        <w:jc w:val="both"/>
      </w:pPr>
      <w:r>
        <w:rPr>
          <w:rFonts w:ascii="Times New Roman"/>
          <w:b w:val="false"/>
          <w:i w:val="false"/>
          <w:color w:val="000000"/>
          <w:sz w:val="28"/>
        </w:rPr>
        <w:t>
      5) Технопарк қатысушыларының ақпараттық-коммуникациялық технологиялар саласындағы индустриялық-инновациялық жобаларды іске асыруы үшін әлеуетті инвесторларды іздеу;</w:t>
      </w:r>
    </w:p>
    <w:p>
      <w:pPr>
        <w:spacing w:after="0"/>
        <w:ind w:left="0"/>
        <w:jc w:val="both"/>
      </w:pPr>
      <w:r>
        <w:rPr>
          <w:rFonts w:ascii="Times New Roman"/>
          <w:b w:val="false"/>
          <w:i w:val="false"/>
          <w:color w:val="000000"/>
          <w:sz w:val="28"/>
        </w:rPr>
        <w:t>
      6) шетелдіктердің және азаматтығы жоқ адамдардың Технопарк бағдарламалары бойынша оқудан өтуі үшін Технопаркке қатысушы жұмыскерлерге визалар алуға шақырулар, өтініш хаттар жіберу;</w:t>
      </w:r>
    </w:p>
    <w:p>
      <w:pPr>
        <w:spacing w:after="0"/>
        <w:ind w:left="0"/>
        <w:jc w:val="both"/>
      </w:pPr>
      <w:r>
        <w:rPr>
          <w:rFonts w:ascii="Times New Roman"/>
          <w:b w:val="false"/>
          <w:i w:val="false"/>
          <w:color w:val="000000"/>
          <w:sz w:val="28"/>
        </w:rPr>
        <w:t>
      7) Қазақстан Республикасының резиденттері мен бейрезиденттерін Технопаркқа қатысуға тарту;</w:t>
      </w:r>
    </w:p>
    <w:p>
      <w:pPr>
        <w:spacing w:after="0"/>
        <w:ind w:left="0"/>
        <w:jc w:val="both"/>
      </w:pPr>
      <w:r>
        <w:rPr>
          <w:rFonts w:ascii="Times New Roman"/>
          <w:b w:val="false"/>
          <w:i w:val="false"/>
          <w:color w:val="000000"/>
          <w:sz w:val="28"/>
        </w:rPr>
        <w:t>
      8) Технопарк қатысушыларын тіркеу және тиісті растайтын құжаттарды беру;</w:t>
      </w:r>
    </w:p>
    <w:p>
      <w:pPr>
        <w:spacing w:after="0"/>
        <w:ind w:left="0"/>
        <w:jc w:val="both"/>
      </w:pPr>
      <w:r>
        <w:rPr>
          <w:rFonts w:ascii="Times New Roman"/>
          <w:b w:val="false"/>
          <w:i w:val="false"/>
          <w:color w:val="000000"/>
          <w:sz w:val="28"/>
        </w:rPr>
        <w:t>
      9) Технопаркте акселерациядан өтетін адамдарға тұрғын жай беру және тұруға жағдай жасау;</w:t>
      </w:r>
    </w:p>
    <w:p>
      <w:pPr>
        <w:spacing w:after="0"/>
        <w:ind w:left="0"/>
        <w:jc w:val="both"/>
      </w:pPr>
      <w:r>
        <w:rPr>
          <w:rFonts w:ascii="Times New Roman"/>
          <w:b w:val="false"/>
          <w:i w:val="false"/>
          <w:color w:val="000000"/>
          <w:sz w:val="28"/>
        </w:rPr>
        <w:t>
      10) Технопарк қатысушыларының ақпараттық-коммуникациялық технологиялар саласындағы индустриялық-инновациялық жобаларын қаржыландыру;</w:t>
      </w:r>
    </w:p>
    <w:p>
      <w:pPr>
        <w:spacing w:after="0"/>
        <w:ind w:left="0"/>
        <w:jc w:val="both"/>
      </w:pPr>
      <w:r>
        <w:rPr>
          <w:rFonts w:ascii="Times New Roman"/>
          <w:b w:val="false"/>
          <w:i w:val="false"/>
          <w:color w:val="000000"/>
          <w:sz w:val="28"/>
        </w:rPr>
        <w:t>
      11) инвестициялық қорларды құру немесе инвестициялық қорларға қатысу үлесін қабылдау;</w:t>
      </w:r>
    </w:p>
    <w:p>
      <w:pPr>
        <w:spacing w:after="0"/>
        <w:ind w:left="0"/>
        <w:jc w:val="both"/>
      </w:pPr>
      <w:r>
        <w:rPr>
          <w:rFonts w:ascii="Times New Roman"/>
          <w:b w:val="false"/>
          <w:i w:val="false"/>
          <w:color w:val="000000"/>
          <w:sz w:val="28"/>
        </w:rPr>
        <w:t>
      12) білікті кадрларды даярлау мақсатында ақпараттық-коммуникациялық технологиялар саласында оны алуға үміткер жеке тұлғаларды оқытуды қаржыландыру жатады.";</w:t>
      </w:r>
    </w:p>
    <w:bookmarkStart w:name="z5" w:id="3"/>
    <w:p>
      <w:pPr>
        <w:spacing w:after="0"/>
        <w:ind w:left="0"/>
        <w:jc w:val="both"/>
      </w:pPr>
      <w:r>
        <w:rPr>
          <w:rFonts w:ascii="Times New Roman"/>
          <w:b w:val="false"/>
          <w:i w:val="false"/>
          <w:color w:val="000000"/>
          <w:sz w:val="28"/>
        </w:rPr>
        <w:t>
      мынадай мазмұндағы 3-1-тармақпен толықтырылсын:</w:t>
      </w:r>
    </w:p>
    <w:bookmarkEnd w:id="3"/>
    <w:bookmarkStart w:name="z6" w:id="4"/>
    <w:p>
      <w:pPr>
        <w:spacing w:after="0"/>
        <w:ind w:left="0"/>
        <w:jc w:val="both"/>
      </w:pPr>
      <w:r>
        <w:rPr>
          <w:rFonts w:ascii="Times New Roman"/>
          <w:b w:val="false"/>
          <w:i w:val="false"/>
          <w:color w:val="000000"/>
          <w:sz w:val="28"/>
        </w:rPr>
        <w:t>
      "3-1. Ақпараттық-коммуникациялық технологиялар саласында оқуға үміткер жеке тұлғаларды оқытуды қаржыландыру тәртібі Технопарктің ішкі құжаттарына сәйкес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"7. Технопарк қатысушысы ретінде тіркелу үшін өтініш беруші мынадай талаптарға сәйкес келуі тиіс:</w:t>
      </w:r>
    </w:p>
    <w:bookmarkEnd w:id="5"/>
    <w:p>
      <w:pPr>
        <w:spacing w:after="0"/>
        <w:ind w:left="0"/>
        <w:jc w:val="both"/>
      </w:pPr>
      <w:r>
        <w:rPr>
          <w:rFonts w:ascii="Times New Roman"/>
          <w:b w:val="false"/>
          <w:i w:val="false"/>
          <w:color w:val="000000"/>
          <w:sz w:val="28"/>
        </w:rPr>
        <w:t>
      заңды тұлға болуы;</w:t>
      </w:r>
    </w:p>
    <w:p>
      <w:pPr>
        <w:spacing w:after="0"/>
        <w:ind w:left="0"/>
        <w:jc w:val="both"/>
      </w:pPr>
      <w:r>
        <w:rPr>
          <w:rFonts w:ascii="Times New Roman"/>
          <w:b w:val="false"/>
          <w:i w:val="false"/>
          <w:color w:val="000000"/>
          <w:sz w:val="28"/>
        </w:rPr>
        <w:t>
      өтініш беру кезінде, өкілдіктерді қоспағанда, филиалдардың, сондай-ақ оқшауланған құрылымдық бөлімшелердің болмауы;</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284-бабына</w:t>
      </w:r>
      <w:r>
        <w:rPr>
          <w:rFonts w:ascii="Times New Roman"/>
          <w:b w:val="false"/>
          <w:i w:val="false"/>
          <w:color w:val="000000"/>
          <w:sz w:val="28"/>
        </w:rPr>
        <w:t xml:space="preserve"> сәйкес инвестициялық басым жобаны, сондай-ақ 2015 жылғы 1 қаңтарға дейін жасалған инвестициялық келісімшарттар бойынша инвестициялық стратегиялық жобаны іске асыратын (іске асырған) ұйымдарға кірмеуі;</w:t>
      </w:r>
    </w:p>
    <w:p>
      <w:pPr>
        <w:spacing w:after="0"/>
        <w:ind w:left="0"/>
        <w:jc w:val="both"/>
      </w:pPr>
      <w:r>
        <w:rPr>
          <w:rFonts w:ascii="Times New Roman"/>
          <w:b w:val="false"/>
          <w:i w:val="false"/>
          <w:color w:val="000000"/>
          <w:sz w:val="28"/>
        </w:rPr>
        <w:t>
      акцияларының (жарғылық капиталындағы үлестерінің) елу және одан көп пайызы тікелей немесе жанама түрде мемлекетке, ұлттық басқарушы холдингтерге, ұлттық холдингтерге және ұлттық компанияларға немесе олардың еншілес ұйымдарына тиесілі заңды тұлғалар қатарында болмау;</w:t>
      </w:r>
    </w:p>
    <w:p>
      <w:pPr>
        <w:spacing w:after="0"/>
        <w:ind w:left="0"/>
        <w:jc w:val="both"/>
      </w:pPr>
      <w:r>
        <w:rPr>
          <w:rFonts w:ascii="Times New Roman"/>
          <w:b w:val="false"/>
          <w:i w:val="false"/>
          <w:color w:val="000000"/>
          <w:sz w:val="28"/>
        </w:rPr>
        <w:t>
      жер қойнауын пайдаланушы немесе арнайы экономикалық аймақтың қатысушысы болып табылмау;</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(бұдан әрі – Кодекс) </w:t>
      </w:r>
      <w:r>
        <w:rPr>
          <w:rFonts w:ascii="Times New Roman"/>
          <w:b w:val="false"/>
          <w:i w:val="false"/>
          <w:color w:val="000000"/>
          <w:sz w:val="28"/>
        </w:rPr>
        <w:t>461-бабына</w:t>
      </w:r>
      <w:r>
        <w:rPr>
          <w:rFonts w:ascii="Times New Roman"/>
          <w:b w:val="false"/>
          <w:i w:val="false"/>
          <w:color w:val="000000"/>
          <w:sz w:val="28"/>
        </w:rPr>
        <w:t xml:space="preserve"> сәйкес кіші акцизделетін тауарлардың төлеушісі болмауы;</w:t>
      </w:r>
    </w:p>
    <w:p>
      <w:pPr>
        <w:spacing w:after="0"/>
        <w:ind w:left="0"/>
        <w:jc w:val="both"/>
      </w:pPr>
      <w:r>
        <w:rPr>
          <w:rFonts w:ascii="Times New Roman"/>
          <w:b w:val="false"/>
          <w:i w:val="false"/>
          <w:color w:val="000000"/>
          <w:sz w:val="28"/>
        </w:rPr>
        <w:t xml:space="preserve">
      ақпараттық-коммуникациялық технологиялар саласындағы қызметтің бір және (немесе) бірнеше басым түрлерін, сондай-ақ Қазақстан Республикасы Цифрлық даму, қорғаныс және аэроғарыш өнеркәсібі министрінің 2019 жылғы 11 сәуірдегі № 37/НҚ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18523 болып тіркелген) бекітілген Ақпараттық-коммуникациялық технологиялар саласындағы басым қызмет түрлерінің тізбесіне (бұдан әрі - Ақпараттық-коммуникациялық технологиялар саласындағы басым қызмет түрлерінің тізбесі) сәйкес бір басым қызмет түрі шеңберінде онда көзделген бір және (немесе) бірнеше жұмыстарды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"8. Технопарктің қатысушысы ретінде тіркеу үшін өтінішті ұсыну, оны одан әрі Технопарктің қарауы, өтініштің мәртебесін өзгерту туралы хабарлама Технопарктің интернет-ресурсы арқылы жүзеге асырылады.</w:t>
      </w:r>
    </w:p>
    <w:bookmarkEnd w:id="6"/>
    <w:p>
      <w:pPr>
        <w:spacing w:after="0"/>
        <w:ind w:left="0"/>
        <w:jc w:val="both"/>
      </w:pPr>
      <w:r>
        <w:rPr>
          <w:rFonts w:ascii="Times New Roman"/>
          <w:b w:val="false"/>
          <w:i w:val="false"/>
          <w:color w:val="000000"/>
          <w:sz w:val="28"/>
        </w:rPr>
        <w:t xml:space="preserve">
      Мүдделі тұлға Технопарктің қатысушысы ретінде тіркелу үшін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тіркей отырып, технопаркке қатысуға арналған электрондық өтінішті (бұдан әрі – қатысуға өтініш) Технопарктің интернет-ресурсында толтырады.";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"9. Қатысуға арналған өтінішке мынадай құжаттар қоса тіркеледі:</w:t>
      </w:r>
    </w:p>
    <w:bookmarkEnd w:id="7"/>
    <w:p>
      <w:pPr>
        <w:spacing w:after="0"/>
        <w:ind w:left="0"/>
        <w:jc w:val="both"/>
      </w:pPr>
      <w:r>
        <w:rPr>
          <w:rFonts w:ascii="Times New Roman"/>
          <w:b w:val="false"/>
          <w:i w:val="false"/>
          <w:color w:val="000000"/>
          <w:sz w:val="28"/>
        </w:rPr>
        <w:t>
      резидент заңды тұлғалар үшін-заңды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бейрезидент заңды тұлғалар үшін - мемлекеттік тіркеу нөмірін (немесе оның баламасын) көрсете отырып, бейрезиденттің инкорпорация елінде мемлекеттік тіркелуін растайтын құжат);</w:t>
      </w:r>
    </w:p>
    <w:p>
      <w:pPr>
        <w:spacing w:after="0"/>
        <w:ind w:left="0"/>
        <w:jc w:val="both"/>
      </w:pPr>
      <w:r>
        <w:rPr>
          <w:rFonts w:ascii="Times New Roman"/>
          <w:b w:val="false"/>
          <w:i w:val="false"/>
          <w:color w:val="000000"/>
          <w:sz w:val="28"/>
        </w:rPr>
        <w:t>
      1) өтініш берген кезде өтініш берушінің атынан әрекет ететін тұлғаның өкілеттігін растайтын құжаттардың электрондық көшірмелері, егер мұндай тұлғаны өтініш беруші тағайындаған болса;</w:t>
      </w:r>
    </w:p>
    <w:p>
      <w:pPr>
        <w:spacing w:after="0"/>
        <w:ind w:left="0"/>
        <w:jc w:val="both"/>
      </w:pPr>
      <w:r>
        <w:rPr>
          <w:rFonts w:ascii="Times New Roman"/>
          <w:b w:val="false"/>
          <w:i w:val="false"/>
          <w:color w:val="000000"/>
          <w:sz w:val="28"/>
        </w:rPr>
        <w:t>
      2) осы Қағидаларға 3-қосымшада көрсетілген қажетті мәліметтерді қамтитын жобаның бизнес-жоспары;</w:t>
      </w:r>
    </w:p>
    <w:p>
      <w:pPr>
        <w:spacing w:after="0"/>
        <w:ind w:left="0"/>
        <w:jc w:val="both"/>
      </w:pPr>
      <w:r>
        <w:rPr>
          <w:rFonts w:ascii="Times New Roman"/>
          <w:b w:val="false"/>
          <w:i w:val="false"/>
          <w:color w:val="000000"/>
          <w:sz w:val="28"/>
        </w:rPr>
        <w:t>
      3) салық органдарында есепке алынатын, өтiнiш республикалық бюджет туралы заңда тиiстi қаржы жылына белгiленген айлық есептiк көрсеткiштiң алты еселенген мөлшерiнен асатын борыштардың болмауы (болуы) туралы өтініш берiлген күнге дейiн күнтiзбелiк он күннен кешiктiрiлмей берiлген мәлiметтер. Бұл құжаттарды Қазақстан Республикасының бейрезиденттері ұсынбайды;</w:t>
      </w:r>
    </w:p>
    <w:p>
      <w:pPr>
        <w:spacing w:after="0"/>
        <w:ind w:left="0"/>
        <w:jc w:val="both"/>
      </w:pPr>
      <w:r>
        <w:rPr>
          <w:rFonts w:ascii="Times New Roman"/>
          <w:b w:val="false"/>
          <w:i w:val="false"/>
          <w:color w:val="000000"/>
          <w:sz w:val="28"/>
        </w:rPr>
        <w:t>
      4) өтініш беруші өз қызметін жүзеге асыратын мекенжай туралы мәліметтер. Мекенжайы өзгерген жағдайда өтініш беруші жедел түрде ол туралы Технопаркті хабардар етеді;</w:t>
      </w:r>
    </w:p>
    <w:p>
      <w:pPr>
        <w:spacing w:after="0"/>
        <w:ind w:left="0"/>
        <w:jc w:val="both"/>
      </w:pPr>
      <w:r>
        <w:rPr>
          <w:rFonts w:ascii="Times New Roman"/>
          <w:b w:val="false"/>
          <w:i w:val="false"/>
          <w:color w:val="000000"/>
          <w:sz w:val="28"/>
        </w:rPr>
        <w:t>
      5) жобаны іске асыру үшін тартуға жаспарланатын бейрезиденттердің және резиденттердің саны туралы мәліметтер (болжамдалған саны және мерзімі).";</w:t>
      </w:r>
    </w:p>
    <w:bookmarkStart w:name="z13" w:id="8"/>
    <w:p>
      <w:pPr>
        <w:spacing w:after="0"/>
        <w:ind w:left="0"/>
        <w:jc w:val="both"/>
      </w:pPr>
      <w:r>
        <w:rPr>
          <w:rFonts w:ascii="Times New Roman"/>
          <w:b w:val="false"/>
          <w:i w:val="false"/>
          <w:color w:val="000000"/>
          <w:sz w:val="28"/>
        </w:rPr>
        <w:t>
      мынадай мазмұндағы 9-1-тармақпен толықтырылсын:</w:t>
      </w:r>
    </w:p>
    <w:bookmarkEnd w:id="8"/>
    <w:bookmarkStart w:name="z14" w:id="9"/>
    <w:p>
      <w:pPr>
        <w:spacing w:after="0"/>
        <w:ind w:left="0"/>
        <w:jc w:val="both"/>
      </w:pPr>
      <w:r>
        <w:rPr>
          <w:rFonts w:ascii="Times New Roman"/>
          <w:b w:val="false"/>
          <w:i w:val="false"/>
          <w:color w:val="000000"/>
          <w:sz w:val="28"/>
        </w:rPr>
        <w:t>
      "9-1. Ақпараттық-коммуникациялық технологиялар саласындағы қызметтің басым түрлерінің тізбесі шеңберінде технопаркке қатысушы жүзеге асыратын Қызмет түрі өзгерген және (немесе) толықтырылған жағдайда өтініш беруші технопаркті қатысушының технопаркте тіркелуі туралы куәлікке тиісті өзгерістер енгізбестен қызметті жүзеге асырған кезден бастап 5 жұмыс күнінен кешіктірілмейтін мерзімде хабардар етеді.";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"12. Технопарк қатысуға өтініш жіберілген күннен бастап бес жұмыс күні ішінде оны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3), 4), 5) тармақшаларына сәйкес өтініште қамтылған мәліметтердің толықтығына қарайды.";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"13. Қатысуға арналған өтініште қамтылған мәліметтер толық болған жағдайда, Технопарк оны Технопарк қатысушыларын іріктеу жөніндегі комиссияның (бұдан әрі – Комиссия) қарауына жібереді. Комиссияның ережесі мен құрамын Технопарк айқындайды.</w:t>
      </w:r>
    </w:p>
    <w:bookmarkEnd w:id="11"/>
    <w:p>
      <w:pPr>
        <w:spacing w:after="0"/>
        <w:ind w:left="0"/>
        <w:jc w:val="both"/>
      </w:pPr>
      <w:r>
        <w:rPr>
          <w:rFonts w:ascii="Times New Roman"/>
          <w:b w:val="false"/>
          <w:i w:val="false"/>
          <w:color w:val="000000"/>
          <w:sz w:val="28"/>
        </w:rPr>
        <w:t>
      Комиссия мемлекеттік органдардың өкілдерінен және (немесе) тиісті біліктілігі бар IT-технологиялар саласындағы мамандардан тұрады, сондай-ақ Комиссияның құрамына халықаралық сарапшылар тартылуы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3), 4), 5) тармақшаларында көзделген қатысуға арналған өтініште қамтылған мәліметтер толық болмаған жағдайда, Технопарк қатысуға арналған өтініш жіберілген күннен бастап бес жұмыс күнінен кешіктірмей өтініш берушіге ескертулерді көрсете отырып хабарлама жібереді.";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"15. Ескертулерді жоюды өтініш беруші оларды алған күннен бастап он жұмыс күнінен кешіктірілмейтін мерзімде жүзеге асырады.";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"16. Технопарк ескертулерді жойған сәттен бастап қатысуға арналған өтінішті Комиссияға қарауға жібереді.</w:t>
      </w:r>
    </w:p>
    <w:bookmarkEnd w:id="14"/>
    <w:p>
      <w:pPr>
        <w:spacing w:after="0"/>
        <w:ind w:left="0"/>
        <w:jc w:val="both"/>
      </w:pPr>
      <w:r>
        <w:rPr>
          <w:rFonts w:ascii="Times New Roman"/>
          <w:b w:val="false"/>
          <w:i w:val="false"/>
          <w:color w:val="000000"/>
          <w:sz w:val="28"/>
        </w:rPr>
        <w:t>
      Комиссия он жұмыс күні ішінде қарайды және өтініш берушіні қатысушы ретінде тіркеу туралы немесе мұндай тіркеуден бас тарту туралы шешім қабылдайды.</w:t>
      </w:r>
    </w:p>
    <w:p>
      <w:pPr>
        <w:spacing w:after="0"/>
        <w:ind w:left="0"/>
        <w:jc w:val="both"/>
      </w:pPr>
      <w:r>
        <w:rPr>
          <w:rFonts w:ascii="Times New Roman"/>
          <w:b w:val="false"/>
          <w:i w:val="false"/>
          <w:color w:val="000000"/>
          <w:sz w:val="28"/>
        </w:rPr>
        <w:t>
      Комиссия өтініш берушіні қатысушы ретінде тіркеуден мынадай негіздер бойынша бас тартады:</w:t>
      </w:r>
    </w:p>
    <w:p>
      <w:pPr>
        <w:spacing w:after="0"/>
        <w:ind w:left="0"/>
        <w:jc w:val="both"/>
      </w:pPr>
      <w:r>
        <w:rPr>
          <w:rFonts w:ascii="Times New Roman"/>
          <w:b w:val="false"/>
          <w:i w:val="false"/>
          <w:color w:val="000000"/>
          <w:sz w:val="28"/>
        </w:rPr>
        <w:t>
      бизнес-жоспардың осы Қағидаларға 3-қосымшада көзделген мәліметтерге сәйкес келмеуі;</w:t>
      </w:r>
    </w:p>
    <w:p>
      <w:pPr>
        <w:spacing w:after="0"/>
        <w:ind w:left="0"/>
        <w:jc w:val="both"/>
      </w:pPr>
      <w:r>
        <w:rPr>
          <w:rFonts w:ascii="Times New Roman"/>
          <w:b w:val="false"/>
          <w:i w:val="false"/>
          <w:color w:val="000000"/>
          <w:sz w:val="28"/>
        </w:rPr>
        <w:t>
      өтініш берушінің жобасы ақпараттық-коммуникациялық технологиялар саласындағы басым қызмет түрлерінің бір немесе бірнеше бағытына, сондай-ақ қызметтің бір басым түрі шеңберінде ақпараттық-коммуникациялық технологиялар саласындағы басым қызмет түрлерінің тізбесіне сәйкес онда көзделген бір және (немесе) бірнеше жұмысты жүзеге асыруға сәйкес келмеуі.";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"39. Технопаркке қатысуды мерзімінен бұрын тоқтату мынадай:</w:t>
      </w:r>
    </w:p>
    <w:bookmarkEnd w:id="15"/>
    <w:p>
      <w:pPr>
        <w:spacing w:after="0"/>
        <w:ind w:left="0"/>
        <w:jc w:val="both"/>
      </w:pPr>
      <w:r>
        <w:rPr>
          <w:rFonts w:ascii="Times New Roman"/>
          <w:b w:val="false"/>
          <w:i w:val="false"/>
          <w:color w:val="000000"/>
          <w:sz w:val="28"/>
        </w:rPr>
        <w:t xml:space="preserve">
      1) Технопарк осы тараудың </w:t>
      </w:r>
      <w:r>
        <w:rPr>
          <w:rFonts w:ascii="Times New Roman"/>
          <w:b w:val="false"/>
          <w:i w:val="false"/>
          <w:color w:val="000000"/>
          <w:sz w:val="28"/>
        </w:rPr>
        <w:t>9-параграфына</w:t>
      </w:r>
      <w:r>
        <w:rPr>
          <w:rFonts w:ascii="Times New Roman"/>
          <w:b w:val="false"/>
          <w:i w:val="false"/>
          <w:color w:val="000000"/>
          <w:sz w:val="28"/>
        </w:rPr>
        <w:t xml:space="preserve"> сәйкес жүргізілетін мониторинг нәтижелері бойынша жобаны одан әрі іске асырудың орынсыздығы туралы анықтаған;</w:t>
      </w:r>
    </w:p>
    <w:p>
      <w:pPr>
        <w:spacing w:after="0"/>
        <w:ind w:left="0"/>
        <w:jc w:val="both"/>
      </w:pPr>
      <w:r>
        <w:rPr>
          <w:rFonts w:ascii="Times New Roman"/>
          <w:b w:val="false"/>
          <w:i w:val="false"/>
          <w:color w:val="000000"/>
          <w:sz w:val="28"/>
        </w:rPr>
        <w:t>
      2) жоспарланған нәтижелерге қол жеткізген;</w:t>
      </w:r>
    </w:p>
    <w:p>
      <w:pPr>
        <w:spacing w:after="0"/>
        <w:ind w:left="0"/>
        <w:jc w:val="both"/>
      </w:pPr>
      <w:r>
        <w:rPr>
          <w:rFonts w:ascii="Times New Roman"/>
          <w:b w:val="false"/>
          <w:i w:val="false"/>
          <w:color w:val="000000"/>
          <w:sz w:val="28"/>
        </w:rPr>
        <w:t>
      3) қатысушы Технопарк бағдарламалары шеңберінде жобаны одан әрі іске асырудан бас тартқан;</w:t>
      </w:r>
    </w:p>
    <w:p>
      <w:pPr>
        <w:spacing w:after="0"/>
        <w:ind w:left="0"/>
        <w:jc w:val="both"/>
      </w:pPr>
      <w:r>
        <w:rPr>
          <w:rFonts w:ascii="Times New Roman"/>
          <w:b w:val="false"/>
          <w:i w:val="false"/>
          <w:color w:val="000000"/>
          <w:sz w:val="28"/>
        </w:rPr>
        <w:t>
      4) қатысушы заңды тұлға таратылған;</w:t>
      </w:r>
    </w:p>
    <w:p>
      <w:pPr>
        <w:spacing w:after="0"/>
        <w:ind w:left="0"/>
        <w:jc w:val="both"/>
      </w:pPr>
      <w:r>
        <w:rPr>
          <w:rFonts w:ascii="Times New Roman"/>
          <w:b w:val="false"/>
          <w:i w:val="false"/>
          <w:color w:val="000000"/>
          <w:sz w:val="28"/>
        </w:rPr>
        <w:t>
      5) қатысушының орналасқан жерінің өзгергені, Қызмет түрінің өзгергені және (немесе) толықтырылғаны туралы хабарланбаған, сондай-ақ қатысушының орналасқан жерін анықтау мүмкін болмаған;</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64-тармақтарында</w:t>
      </w:r>
      <w:r>
        <w:rPr>
          <w:rFonts w:ascii="Times New Roman"/>
          <w:b w:val="false"/>
          <w:i w:val="false"/>
          <w:color w:val="000000"/>
          <w:sz w:val="28"/>
        </w:rPr>
        <w:t xml:space="preserve"> көзделген мәліметтер мен есептіліктер уақтылы берілмеген немесе берілмеген жағдайларда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28" w:id="16"/>
    <w:p>
      <w:pPr>
        <w:spacing w:after="0"/>
        <w:ind w:left="0"/>
        <w:jc w:val="both"/>
      </w:pPr>
      <w:r>
        <w:rPr>
          <w:rFonts w:ascii="Times New Roman"/>
          <w:b w:val="false"/>
          <w:i w:val="false"/>
          <w:color w:val="000000"/>
          <w:sz w:val="28"/>
        </w:rPr>
        <w:t>
      "66. Қатысушы технопаркке өзі жүзеге асыратын қызмет туралы тоқсан сайынғы есепті есепті тоқсаннан кейінгі айдың 10-күнінен кешіктірілмейтін мерзімде ұсынады.";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30" w:id="17"/>
    <w:p>
      <w:pPr>
        <w:spacing w:after="0"/>
        <w:ind w:left="0"/>
        <w:jc w:val="both"/>
      </w:pPr>
      <w:r>
        <w:rPr>
          <w:rFonts w:ascii="Times New Roman"/>
          <w:b w:val="false"/>
          <w:i w:val="false"/>
          <w:color w:val="000000"/>
          <w:sz w:val="28"/>
        </w:rPr>
        <w:t>
      "67. Қатысушы Технопаркке өзі жүзеге асыратын қызмет туралы жыл сайынғы есепті есепті кезеңнен кейінгі жылдың 10 қаңтарынан кешіктірмей ұсынады.</w:t>
      </w:r>
    </w:p>
    <w:bookmarkEnd w:id="17"/>
    <w:p>
      <w:pPr>
        <w:spacing w:after="0"/>
        <w:ind w:left="0"/>
        <w:jc w:val="both"/>
      </w:pPr>
      <w:r>
        <w:rPr>
          <w:rFonts w:ascii="Times New Roman"/>
          <w:b w:val="false"/>
          <w:i w:val="false"/>
          <w:color w:val="000000"/>
          <w:sz w:val="28"/>
        </w:rPr>
        <w:t>
      Жүзеге асырылатын қызмет туралы жыл сайынғы есепке өзгерістер енгізу қажет болған кезде жаңартылған есепті ұсыну 10 сәуірден кешіктірілмейтін мерзімде жүзеге асырылады.";</w:t>
      </w:r>
    </w:p>
    <w:bookmarkStart w:name="z31" w:id="1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3-қосымшамен толықтырылсын.</w:t>
      </w:r>
    </w:p>
    <w:bookmarkEnd w:id="18"/>
    <w:bookmarkStart w:name="z32" w:id="19"/>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және ақпараттық-коммуникациялық технологияларды дамыту департаменті заңнамада белгіленген тәртіппен:</w:t>
      </w:r>
    </w:p>
    <w:bookmarkEnd w:id="19"/>
    <w:bookmarkStart w:name="z33" w:id="2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0"/>
    <w:bookmarkStart w:name="z34" w:id="21"/>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21"/>
    <w:bookmarkStart w:name="z35" w:id="22"/>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22"/>
    <w:bookmarkStart w:name="z36"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23"/>
    <w:bookmarkStart w:name="z37"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 xml:space="preserve">2021 жылғы 12 тамыздағы </w:t>
            </w:r>
            <w:r>
              <w:br/>
            </w:r>
            <w:r>
              <w:rPr>
                <w:rFonts w:ascii="Times New Roman"/>
                <w:b w:val="false"/>
                <w:i w:val="false"/>
                <w:color w:val="000000"/>
                <w:sz w:val="20"/>
              </w:rPr>
              <w:t xml:space="preserve">№ 277/НҚ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Хаб" халықаралық </w:t>
            </w:r>
            <w:r>
              <w:br/>
            </w:r>
            <w:r>
              <w:rPr>
                <w:rFonts w:ascii="Times New Roman"/>
                <w:b w:val="false"/>
                <w:i w:val="false"/>
                <w:color w:val="000000"/>
                <w:sz w:val="20"/>
              </w:rPr>
              <w:t>технологиялық паркі</w:t>
            </w:r>
            <w:r>
              <w:br/>
            </w:r>
            <w:r>
              <w:rPr>
                <w:rFonts w:ascii="Times New Roman"/>
                <w:b w:val="false"/>
                <w:i w:val="false"/>
                <w:color w:val="000000"/>
                <w:sz w:val="20"/>
              </w:rPr>
              <w:t>қызметінің қағидаларына</w:t>
            </w:r>
            <w:r>
              <w:br/>
            </w:r>
            <w:r>
              <w:rPr>
                <w:rFonts w:ascii="Times New Roman"/>
                <w:b w:val="false"/>
                <w:i w:val="false"/>
                <w:color w:val="000000"/>
                <w:sz w:val="20"/>
              </w:rPr>
              <w:t>3-қосымша</w:t>
            </w:r>
          </w:p>
        </w:tc>
      </w:tr>
    </w:tbl>
    <w:bookmarkStart w:name="z40" w:id="25"/>
    <w:p>
      <w:pPr>
        <w:spacing w:after="0"/>
        <w:ind w:left="0"/>
        <w:jc w:val="left"/>
      </w:pPr>
      <w:r>
        <w:rPr>
          <w:rFonts w:ascii="Times New Roman"/>
          <w:b/>
          <w:i w:val="false"/>
          <w:color w:val="000000"/>
        </w:rPr>
        <w:t xml:space="preserve"> Жобаның бизнес-жоспарында сипаттауға қажетті мәліметтер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0"/>
        <w:gridCol w:w="9930"/>
      </w:tblGrid>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Жобаның бизнес-жоспарында сипаттауға қажетті мәліметтер тізбесі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және оның сипаттамасы</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иелену үшін негіздеме (өзінің әзірлемесі, лицензиясы)</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 жоба авторы туралы мәліметтер</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мен міндеттері</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дайындық сатысы</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негізгі тиімділік көрсеткіштері (KPI)</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техникалық сипаттамасы (архитектура, құрылым, қолданылатын шешімдер)</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асыруға жоспарланған шығыстар сметасы</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тәсілі және күтілетін түсім (кіріс)</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 әлеуетті клиенттер</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қажетті іс-шаралар жоспары (жобаны іске асыру және дамыту үшін қажетті нақты іс-шаралардың (қадамдардың) сипаттамасы).</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шеңберінде ұсынылатын тауарлардың, жұмыстардың, көрсетілетін қызметтердің түрлері, мүліктік құқықтар және болжамды сатудың жыл сайынғы көлемі</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қажеттілігінің негіздемесі (қоғамдық маңыздылығы және табысты іске асырудың әсері)</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Патенттік-лицензиялық қорғау, авторлық құқықтар, сауда белгілері және басқа да зияткерлік меншік объектілері (бар болса) туралы мәліметтер.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