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5c0c" w14:textId="b425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2021 жылғы 29 шiлдедегi № 74 бұйрығы. Қазақстан Республикасының Әділет министрлігінде 2021 жылғы 29 шілдеде № 23764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"637. Уәкілетті органның ведомствосы тарифті есептеу кезінде пайданың жол берілетін деңгейін осы Қағидалардың </w:t>
      </w:r>
      <w:r>
        <w:rPr>
          <w:rFonts w:ascii="Times New Roman"/>
          <w:b w:val="false"/>
          <w:i w:val="false"/>
          <w:color w:val="000000"/>
          <w:sz w:val="28"/>
        </w:rPr>
        <w:t>11-тарауына</w:t>
      </w:r>
      <w:r>
        <w:rPr>
          <w:rFonts w:ascii="Times New Roman"/>
          <w:b w:val="false"/>
          <w:i w:val="false"/>
          <w:color w:val="000000"/>
          <w:sz w:val="28"/>
        </w:rPr>
        <w:t xml:space="preserve"> сай Табиғи монополия субъектісі пайдасының жол берілетін деңгейін айқындау қағидаларына сәйкес айқындалатын тартылған активтердің реттелетін базасының шамасына пайда мөлшерлемесінің көбейтіндісі ретінде айқындайды.</w:t>
      </w:r>
    </w:p>
    <w:bookmarkEnd w:id="3"/>
    <w:p>
      <w:pPr>
        <w:spacing w:after="0"/>
        <w:ind w:left="0"/>
        <w:jc w:val="both"/>
      </w:pPr>
      <w:r>
        <w:rPr>
          <w:rFonts w:ascii="Times New Roman"/>
          <w:b w:val="false"/>
          <w:i w:val="false"/>
          <w:color w:val="000000"/>
          <w:sz w:val="28"/>
        </w:rPr>
        <w:t>
      Тарифке қосылатын пайда деңгейі дауыс беретін акцияларының (қатысу үлестерінің) елу және одан да көп пайызы ұлттық басқарушы холдингке тиесілі табиғи монополиялар субъектілерінің тарифтеріне қосылатын пайданы қоспағанда, инвестициялық бағдарламаны іске асыру үшін қажетті қаражатты ескере отырып шектеледі.</w:t>
      </w:r>
    </w:p>
    <w:p>
      <w:pPr>
        <w:spacing w:after="0"/>
        <w:ind w:left="0"/>
        <w:jc w:val="both"/>
      </w:pPr>
      <w:r>
        <w:rPr>
          <w:rFonts w:ascii="Times New Roman"/>
          <w:b w:val="false"/>
          <w:i w:val="false"/>
          <w:color w:val="000000"/>
          <w:sz w:val="28"/>
        </w:rPr>
        <w:t xml:space="preserve">
      Дауыс беретін акцияларының (қатысу үлестерінің) елу және одан да көп пайызы ұлттық басқарушы холдингке тиесілі табиғи монополиялар субъектілерінің тарифіне қосылатын пайда деңгейі инвестициялық бағдарламаны іске асыруға және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табиғи монополия субъектісінің дамуы мен тиімді жұмыс істеуі үшін қажетті қаражат ескеріле отырып шектеледі.</w:t>
      </w:r>
    </w:p>
    <w:p>
      <w:pPr>
        <w:spacing w:after="0"/>
        <w:ind w:left="0"/>
        <w:jc w:val="both"/>
      </w:pPr>
      <w:r>
        <w:rPr>
          <w:rFonts w:ascii="Times New Roman"/>
          <w:b w:val="false"/>
          <w:i w:val="false"/>
          <w:color w:val="000000"/>
          <w:sz w:val="28"/>
        </w:rPr>
        <w:t>
      Инвестицияларды субъектілер меншікті және (немесе) қарыз қаражатесебінен жүзеге асырады. Меншікті қаражат көзі пайда (таза кіріс) және амортизациялық аударымдар болып табылады.</w:t>
      </w:r>
    </w:p>
    <w:p>
      <w:pPr>
        <w:spacing w:after="0"/>
        <w:ind w:left="0"/>
        <w:jc w:val="both"/>
      </w:pPr>
      <w:r>
        <w:rPr>
          <w:rFonts w:ascii="Times New Roman"/>
          <w:b w:val="false"/>
          <w:i w:val="false"/>
          <w:color w:val="000000"/>
          <w:sz w:val="28"/>
        </w:rPr>
        <w:t>
      Қарыз қаражатын қайтару пайда (таза кіріс) және (немесе) амортизациялық аударымдар есебінен жүзеге асырылады.".</w:t>
      </w:r>
    </w:p>
    <w:bookmarkStart w:name="z6" w:id="4"/>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Энергетика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w:t>
      </w:r>
    </w:p>
    <w:p>
      <w:pPr>
        <w:spacing w:after="0"/>
        <w:ind w:left="0"/>
        <w:jc w:val="both"/>
      </w:pPr>
      <w:r>
        <w:rPr>
          <w:rFonts w:ascii="Times New Roman"/>
          <w:b w:val="false"/>
          <w:i w:val="false"/>
          <w:color w:val="000000"/>
          <w:sz w:val="28"/>
        </w:rPr>
        <w:t>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