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e147" w14:textId="d97e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2021 жылғы 28 шiлдедегi № 73 бұйрығы. Қазақстан Республикасының Әділет министрлігінде 2021 жылғы 29 шілдеде № 23757 болып тіркелді. Күші жойылды - Қазақстан Республикасы Ұлттық экономика министрінің 2023 жылғы 31 шiлдедегi № 143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31.07.2023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"Квазимемлекеттік сектордың сыртқы борышының шекті көлемін айқындау қағидаларын және Оларға қатысты сыртқы борыштың шекті көлемі айқындалатын квазимемлекеттік сектор субъектілерінің тізбесін бекіту туралы" Қазақстан Республикасы Ұлттық экономика министрінің 2018 жылғы 18 сәуірдегі № 157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16814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Сыртқы борыштың шекті көлемі айқындалатын квазимемлекеттік сектор субъектілерінің </w:t>
      </w:r>
      <w:r>
        <w:rPr>
          <w:rFonts w:ascii="Times New Roman"/>
          <w:b w:val="false"/>
          <w:i w:val="false"/>
          <w:color w:val="000000"/>
          <w:sz w:val="28"/>
        </w:rPr>
        <w:t>тізбесі</w:t>
      </w:r>
      <w:r>
        <w:rPr>
          <w:rFonts w:ascii="Times New Roman"/>
          <w:b w:val="false"/>
          <w:i w:val="false"/>
          <w:color w:val="000000"/>
          <w:sz w:val="28"/>
        </w:rPr>
        <w:t xml:space="preserve">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Мемлекет міндеттемелерін басқару және қаржы секторын дамыту саясаты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2021 жылғы 28 шілдедегі </w:t>
            </w:r>
            <w:r>
              <w:br/>
            </w:r>
            <w:r>
              <w:rPr>
                <w:rFonts w:ascii="Times New Roman"/>
                <w:b w:val="false"/>
                <w:i w:val="false"/>
                <w:color w:val="000000"/>
                <w:sz w:val="20"/>
              </w:rPr>
              <w:t xml:space="preserve">№ 73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18 сәуірдегі </w:t>
            </w:r>
            <w:r>
              <w:br/>
            </w:r>
            <w:r>
              <w:rPr>
                <w:rFonts w:ascii="Times New Roman"/>
                <w:b w:val="false"/>
                <w:i w:val="false"/>
                <w:color w:val="000000"/>
                <w:sz w:val="20"/>
              </w:rPr>
              <w:t xml:space="preserve">№ 157 бұйрығына </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Сыртқы борыштың шекті көлемі айқындалатын квазимемлекеттік сектор субъектілерінің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 Қазына" ұлттық әл-ауқат қоры"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