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521e" w14:textId="d6d5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79 қаулысы. Қазақстан Республикасының Әділет министрлігінде 2021 жылғы 27 шiлдеде № 23731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48-1-бабы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 Заңының 56-бабы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әкімшісін)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48-1-бабы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 Заңының 56-бабы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әкімшісін)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Уақытша әкімшілік шығыстарды азайту мақсатында уәкілетті органды хабардар ете отырып, ұйымның мүлкін жалға береді.</w:t>
      </w:r>
    </w:p>
    <w:bookmarkEnd w:id="4"/>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әкімшіліктің жалға беру шартын жасауы уақытша әкімшіліктің алғашқы талап етуі бойынша мүлікті босатуға (қайтаруға) және жалданған мүлікті қосымша жалға беру (қосалқы жалдау) мүмкін еместігіне шектеулер қоюға жалға алушының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оның нәтижесінде Нормативтік 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бекітілген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155-тармақтарына</w:t>
      </w:r>
      <w:r>
        <w:rPr>
          <w:rFonts w:ascii="Times New Roman"/>
          <w:b w:val="false"/>
          <w:i w:val="false"/>
          <w:color w:val="000000"/>
          <w:sz w:val="28"/>
        </w:rPr>
        <w:t xml:space="preserve">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қаулысымен бекітілген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bookmarkStart w:name="z8" w:id="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қаулы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