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1034" w14:textId="db31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жинақтау лимиттері мен қалдықтарды көму лимиттерін әзірлеу және бекіту, қалдықтарды басқару туралы есептілікті ұсыну және бақылау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19 шiлдедегі № 261 бұйрығы. Қазақстан Республикасының Әділет министрлігінде 2021 жылғы 23 шiлдеде № 23675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жинақтау лимиттері мен қалдықтарды көму лимиттерін әзірлеу және бекіту, қалдықтарды басқару туралы есептілікті ұсыну және бақылау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берілген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 ресурстар</w:t>
            </w:r>
            <w:r>
              <w:br/>
            </w:r>
            <w:r>
              <w:rPr>
                <w:rFonts w:ascii="Times New Roman"/>
                <w:b w:val="false"/>
                <w:i/>
                <w:color w:val="000000"/>
                <w:sz w:val="20"/>
              </w:rPr>
              <w:t>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м.а.</w:t>
            </w:r>
            <w:r>
              <w:br/>
            </w:r>
            <w:r>
              <w:rPr>
                <w:rFonts w:ascii="Times New Roman"/>
                <w:b w:val="false"/>
                <w:i w:val="false"/>
                <w:color w:val="000000"/>
                <w:sz w:val="20"/>
              </w:rPr>
              <w:t>2021 жылғы 19 шілдедегі № 261</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Қалдықтарды жинақтау лимиттері мен қалдықтарды көму лимиттерін әзірлеу және бекіту, қалдықтарды басқару туралы есептілікті ұсыну және бақылау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Қалдықтарды жинақтау лимиттері мен қалдықтарды көму лимиттерін әзірлеу және бекіту, қалдықтарды басқару туралы есептілікті ұсыну және бақылау қағидалары (бұдан әрі – Қағидалар) Қазақстан Республикасының Экология кодексінің (бұдан әрі – Кодекс) 334-бабының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қалдықтарды жинақтау лимиттері мен қалдықтарды көму лимиттерін, қалдықтарды басқару туралы есептілікті ұсыну және бақылау тәртібін айқындайды.</w:t>
      </w:r>
    </w:p>
    <w:bookmarkEnd w:id="10"/>
    <w:bookmarkStart w:name="z13" w:id="11"/>
    <w:p>
      <w:pPr>
        <w:spacing w:after="0"/>
        <w:ind w:left="0"/>
        <w:jc w:val="both"/>
      </w:pPr>
      <w:r>
        <w:rPr>
          <w:rFonts w:ascii="Times New Roman"/>
          <w:b w:val="false"/>
          <w:i w:val="false"/>
          <w:color w:val="000000"/>
          <w:sz w:val="28"/>
        </w:rPr>
        <w:t>
      2. Қоршаған ортаның қорғалуын және адамның өмірі мен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дайындауды ынталандыру мақсатында белгіленеді:</w:t>
      </w:r>
    </w:p>
    <w:bookmarkEnd w:id="11"/>
    <w:p>
      <w:pPr>
        <w:spacing w:after="0"/>
        <w:ind w:left="0"/>
        <w:jc w:val="both"/>
      </w:pPr>
      <w:r>
        <w:rPr>
          <w:rFonts w:ascii="Times New Roman"/>
          <w:b w:val="false"/>
          <w:i w:val="false"/>
          <w:color w:val="000000"/>
          <w:sz w:val="28"/>
        </w:rPr>
        <w:t xml:space="preserve">
      1) I немесе ІІ санаттағы объектінің құрамына кіретін қалдықтардың әрбір нақты жинақталу орны үшін қалдықтардың Кодекстің </w:t>
      </w:r>
      <w:r>
        <w:rPr>
          <w:rFonts w:ascii="Times New Roman"/>
          <w:b w:val="false"/>
          <w:i w:val="false"/>
          <w:color w:val="000000"/>
          <w:sz w:val="28"/>
        </w:rPr>
        <w:t>320-бабының</w:t>
      </w:r>
      <w:r>
        <w:rPr>
          <w:rFonts w:ascii="Times New Roman"/>
          <w:b w:val="false"/>
          <w:i w:val="false"/>
          <w:color w:val="000000"/>
          <w:sz w:val="28"/>
        </w:rPr>
        <w:t xml:space="preserve"> талаптарына сәйкес белгіленген мерзім шегінде тиісті жинақтау орнында қоймалауға рұқсат етілген түрлері бойынша олардың шекті саны (массасы) түрінде - қалдықтардың жинақталу лимиттері;</w:t>
      </w:r>
    </w:p>
    <w:p>
      <w:pPr>
        <w:spacing w:after="0"/>
        <w:ind w:left="0"/>
        <w:jc w:val="both"/>
      </w:pPr>
      <w:r>
        <w:rPr>
          <w:rFonts w:ascii="Times New Roman"/>
          <w:b w:val="false"/>
          <w:i w:val="false"/>
          <w:color w:val="000000"/>
          <w:sz w:val="28"/>
        </w:rPr>
        <w:t>
      2) I және II санаттағы объектінің құрамына кіретін қалдықтардың әрбір нақты полигоны үшін қалдықтардың тиісті полигонда көмуге рұқсат етілген түрлері бойынша олардың шекті саны (массасы) түрінде;</w:t>
      </w:r>
    </w:p>
    <w:p>
      <w:pPr>
        <w:spacing w:after="0"/>
        <w:ind w:left="0"/>
        <w:jc w:val="both"/>
      </w:pPr>
      <w:r>
        <w:rPr>
          <w:rFonts w:ascii="Times New Roman"/>
          <w:b w:val="false"/>
          <w:i w:val="false"/>
          <w:color w:val="000000"/>
          <w:sz w:val="28"/>
        </w:rPr>
        <w:t>
      I немесе II санаттағы объектінің құрамына кіретін тау-кен өндіру өнеркәсібінің қалдықтарын қоймалаудың әрбір нақты объектісі үшін тау-кен өндіру өнеркәсібінің қалдықтарын тиісті қоймалау объектісіне он екі айдан астам мерзімге қоймалауға және ұзақ мерзімді сақтауға рұқсат етілген тау-кен өндіру өнеркәсібі қалдықтарының түрлері бойынша олардың шекті саны (массасы) түрінде - қалдықтарды көму лимиттері белгіленеді.</w:t>
      </w:r>
    </w:p>
    <w:bookmarkStart w:name="z14" w:id="12"/>
    <w:p>
      <w:pPr>
        <w:spacing w:after="0"/>
        <w:ind w:left="0"/>
        <w:jc w:val="both"/>
      </w:pPr>
      <w:r>
        <w:rPr>
          <w:rFonts w:ascii="Times New Roman"/>
          <w:b w:val="false"/>
          <w:i w:val="false"/>
          <w:color w:val="000000"/>
          <w:sz w:val="28"/>
        </w:rPr>
        <w:t>
      3. Қалдықтардың жинақталу лимиттері мен қалдықтарды көму лимиттері I және II санаттағы объектілер үшін тиісті экологиялық рұқсаттарда белгіленеді.</w:t>
      </w:r>
    </w:p>
    <w:bookmarkEnd w:id="12"/>
    <w:p>
      <w:pPr>
        <w:spacing w:after="0"/>
        <w:ind w:left="0"/>
        <w:jc w:val="both"/>
      </w:pPr>
      <w:r>
        <w:rPr>
          <w:rFonts w:ascii="Times New Roman"/>
          <w:b w:val="false"/>
          <w:i w:val="false"/>
          <w:color w:val="000000"/>
          <w:sz w:val="28"/>
        </w:rPr>
        <w:t>
      III және IV санаттағы объектілер үшін қалдықтардың жинақталу лимиттері мен қалдықтарды көму лимиттері белгіленбейді.</w:t>
      </w:r>
    </w:p>
    <w:bookmarkStart w:name="z15" w:id="13"/>
    <w:p>
      <w:pPr>
        <w:spacing w:after="0"/>
        <w:ind w:left="0"/>
        <w:jc w:val="left"/>
      </w:pPr>
      <w:r>
        <w:rPr>
          <w:rFonts w:ascii="Times New Roman"/>
          <w:b/>
          <w:i w:val="false"/>
          <w:color w:val="000000"/>
        </w:rPr>
        <w:t xml:space="preserve"> 2-тарау. Қалдықтарды жинақтау лимиттері мен қалдықтарды көму лимиттерін әзірлеу және бекіту тәртібі</w:t>
      </w:r>
    </w:p>
    <w:bookmarkEnd w:id="13"/>
    <w:bookmarkStart w:name="z16" w:id="14"/>
    <w:p>
      <w:pPr>
        <w:spacing w:after="0"/>
        <w:ind w:left="0"/>
        <w:jc w:val="both"/>
      </w:pPr>
      <w:r>
        <w:rPr>
          <w:rFonts w:ascii="Times New Roman"/>
          <w:b w:val="false"/>
          <w:i w:val="false"/>
          <w:color w:val="000000"/>
          <w:sz w:val="28"/>
        </w:rPr>
        <w:t>
      4. Қалдықтарды жинақтау лимиттері мен қалдықтарды көму лимиттерін негіздеу және бекіту қалдықтарды басқару бағдарламасында жүзеге асырылады. Қалдықтарды басқару бағдарламасы I және II санаттағы операторлар үшін қалдықтармен жұмыс істеу саласындағы негізгі, базалық құжат болып есептеледі және экологиялық рұқсаттың ажырамас бөлігі болып табылады.</w:t>
      </w:r>
    </w:p>
    <w:bookmarkEnd w:id="14"/>
    <w:bookmarkStart w:name="z17" w:id="15"/>
    <w:p>
      <w:pPr>
        <w:spacing w:after="0"/>
        <w:ind w:left="0"/>
        <w:jc w:val="both"/>
      </w:pPr>
      <w:r>
        <w:rPr>
          <w:rFonts w:ascii="Times New Roman"/>
          <w:b w:val="false"/>
          <w:i w:val="false"/>
          <w:color w:val="000000"/>
          <w:sz w:val="28"/>
        </w:rPr>
        <w:t>
      5. Қалдықтарды басқару бағдарламасын әзірлеу алдында қалдықтардың түзілу көлемдерін айқындау, қалдықтардың түрлері мен қауіптілігі бойынша жинақталу лимиттерін және ластаушы заттардың жер асты суларына, іргелес аумақтардың топырақтарына жылыстау дәрежесін, эолдық сейілту мен рекультивацияның ұтымдылығын ескере отырып, қалдықтарды көму лимиттерін есептеу жүргізіледі.</w:t>
      </w:r>
    </w:p>
    <w:bookmarkEnd w:id="15"/>
    <w:bookmarkStart w:name="z18" w:id="16"/>
    <w:p>
      <w:pPr>
        <w:spacing w:after="0"/>
        <w:ind w:left="0"/>
        <w:jc w:val="both"/>
      </w:pPr>
      <w:r>
        <w:rPr>
          <w:rFonts w:ascii="Times New Roman"/>
          <w:b w:val="false"/>
          <w:i w:val="false"/>
          <w:color w:val="000000"/>
          <w:sz w:val="28"/>
        </w:rPr>
        <w:t>
      6. Қалдықтардың түзілу көлемін айқындау I және II санаттағы объектінің операторы бекіткен өндірістік процестердің технологиялық регламенттерінде қамтылған нормалардың, шикізат шығысы туралы мәліметтердің, анықтамалық құжаттардың, материалдық-шикізат балансының негізінде және қоршаған ортаны қорғау саласындағы уәкілетті орган бекіткен нұсқаулық-әдістемелік құжаттарға (олар болған кезде) сәйкес жүзеге асырылады.</w:t>
      </w:r>
    </w:p>
    <w:bookmarkEnd w:id="16"/>
    <w:bookmarkStart w:name="z19" w:id="17"/>
    <w:p>
      <w:pPr>
        <w:spacing w:after="0"/>
        <w:ind w:left="0"/>
        <w:jc w:val="both"/>
      </w:pPr>
      <w:r>
        <w:rPr>
          <w:rFonts w:ascii="Times New Roman"/>
          <w:b w:val="false"/>
          <w:i w:val="false"/>
          <w:color w:val="000000"/>
          <w:sz w:val="28"/>
        </w:rPr>
        <w:t>
      7. Қалдықтарды жинақтау лимиттерін айқындау кезінде қоршаған орта компоненттерінің қайталама ластануын болдырмауды, қалдықтарды өңдеу, қалпына келтіру немесе жою үшін беру кезеңділігін қамтамасыз ететін жағдайлар, сондай-ақ қалдықтардың түзілуін қысқарту, оларды қайта пайдалануға, қайта өңдеуге және кәдеге жаратуға дайындау үлесін ұлғайту бойынша ұсынылатын шаралар ескеріледі.</w:t>
      </w:r>
    </w:p>
    <w:bookmarkEnd w:id="17"/>
    <w:bookmarkStart w:name="z20" w:id="18"/>
    <w:p>
      <w:pPr>
        <w:spacing w:after="0"/>
        <w:ind w:left="0"/>
        <w:jc w:val="both"/>
      </w:pPr>
      <w:r>
        <w:rPr>
          <w:rFonts w:ascii="Times New Roman"/>
          <w:b w:val="false"/>
          <w:i w:val="false"/>
          <w:color w:val="000000"/>
          <w:sz w:val="28"/>
        </w:rPr>
        <w:t>
      8. Қалдықтарды көму лимиттері сапаның экологиялық нормативтеріне қол жеткізу және сақтау мақсатында қалдықтарды көму және тау-кен өндіру өнеркәсібінің қалдықтарын қоймалау объектісінің сыйымдылығын ескере отырып, атмосфералық ауаға, жер асты сулары мен топырақтарға теріс антропогендік әсерді барынша азайту және болдырмау шарттарын сақтай отырып айқындалады.</w:t>
      </w:r>
    </w:p>
    <w:bookmarkEnd w:id="18"/>
    <w:bookmarkStart w:name="z21" w:id="19"/>
    <w:p>
      <w:pPr>
        <w:spacing w:after="0"/>
        <w:ind w:left="0"/>
        <w:jc w:val="both"/>
      </w:pPr>
      <w:r>
        <w:rPr>
          <w:rFonts w:ascii="Times New Roman"/>
          <w:b w:val="false"/>
          <w:i w:val="false"/>
          <w:color w:val="000000"/>
          <w:sz w:val="28"/>
        </w:rPr>
        <w:t xml:space="preserve">
      9. Қалдықтарды басқару бағдарламасы Кодекстің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328-баптарында</w:t>
      </w:r>
      <w:r>
        <w:rPr>
          <w:rFonts w:ascii="Times New Roman"/>
          <w:b w:val="false"/>
          <w:i w:val="false"/>
          <w:color w:val="000000"/>
          <w:sz w:val="28"/>
        </w:rPr>
        <w:t xml:space="preserve"> белгіленген қағидаттарды сақтай отырып әзірленеді және үшінші тұлғалардан түзілетін және (немесе) алынатын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бойынша ұсынылатын шаралардың сипаттамасын қамтиды.</w:t>
      </w:r>
    </w:p>
    <w:bookmarkEnd w:id="19"/>
    <w:bookmarkStart w:name="z22" w:id="20"/>
    <w:p>
      <w:pPr>
        <w:spacing w:after="0"/>
        <w:ind w:left="0"/>
        <w:jc w:val="left"/>
      </w:pPr>
      <w:r>
        <w:rPr>
          <w:rFonts w:ascii="Times New Roman"/>
          <w:b/>
          <w:i w:val="false"/>
          <w:color w:val="000000"/>
        </w:rPr>
        <w:t xml:space="preserve"> 3-тарау. Қалдықтарды басқару туралы есептілікті ұсыну және бақылау тәртібі</w:t>
      </w:r>
    </w:p>
    <w:bookmarkEnd w:id="20"/>
    <w:bookmarkStart w:name="z23" w:id="21"/>
    <w:p>
      <w:pPr>
        <w:spacing w:after="0"/>
        <w:ind w:left="0"/>
        <w:jc w:val="both"/>
      </w:pPr>
      <w:r>
        <w:rPr>
          <w:rFonts w:ascii="Times New Roman"/>
          <w:b w:val="false"/>
          <w:i w:val="false"/>
          <w:color w:val="000000"/>
          <w:sz w:val="28"/>
        </w:rPr>
        <w:t xml:space="preserve">
      10. I және II санаттағы объектілердің операторлары қоршаған ортаны қорғау саласындағы уәкілетті органға Кодекстің </w:t>
      </w:r>
      <w:r>
        <w:rPr>
          <w:rFonts w:ascii="Times New Roman"/>
          <w:b w:val="false"/>
          <w:i w:val="false"/>
          <w:color w:val="000000"/>
          <w:sz w:val="28"/>
        </w:rPr>
        <w:t>187-бабына</w:t>
      </w:r>
      <w:r>
        <w:rPr>
          <w:rFonts w:ascii="Times New Roman"/>
          <w:b w:val="false"/>
          <w:i w:val="false"/>
          <w:color w:val="000000"/>
          <w:sz w:val="28"/>
        </w:rPr>
        <w:t xml:space="preserve"> сәйкес өндірістік экологиялық бақылау нәтижелері бойынша кезеңдік есептерді, сондай-ақ Кодекстің </w:t>
      </w:r>
      <w:r>
        <w:rPr>
          <w:rFonts w:ascii="Times New Roman"/>
          <w:b w:val="false"/>
          <w:i w:val="false"/>
          <w:color w:val="000000"/>
          <w:sz w:val="28"/>
        </w:rPr>
        <w:t>384-бабының</w:t>
      </w:r>
      <w:r>
        <w:rPr>
          <w:rFonts w:ascii="Times New Roman"/>
          <w:b w:val="false"/>
          <w:i w:val="false"/>
          <w:color w:val="000000"/>
          <w:sz w:val="28"/>
        </w:rPr>
        <w:t xml:space="preserve"> талаптарына сәйкес қалдықтардың мемлекеттік кадастрын жүргізу үшін құжаттаманы ұсынады.</w:t>
      </w:r>
    </w:p>
    <w:bookmarkEnd w:id="21"/>
    <w:bookmarkStart w:name="z24" w:id="22"/>
    <w:p>
      <w:pPr>
        <w:spacing w:after="0"/>
        <w:ind w:left="0"/>
        <w:jc w:val="both"/>
      </w:pPr>
      <w:r>
        <w:rPr>
          <w:rFonts w:ascii="Times New Roman"/>
          <w:b w:val="false"/>
          <w:i w:val="false"/>
          <w:color w:val="000000"/>
          <w:sz w:val="28"/>
        </w:rPr>
        <w:t>
      11. Кодекске сәйкес I және II санаттағы объектілер операторларымен ұсынылатын мерзімді есептілік мемлекеттік органдарды, мүдделі жеке және заңды тұлғаларды қоршаған ортаны қорғауды қамтамасыз етуге қатысты технологиялық, экономикалық, құқықтық және басқа да шешімдерді бағалау, болжау, әзірлеу, сондай-ақ қалдықтардың жалпы мемлекеттік кешенді есебін жүргізу үшін ақпаратпен қамтамасыз етуге арналған.</w:t>
      </w:r>
    </w:p>
    <w:bookmarkEnd w:id="22"/>
    <w:bookmarkStart w:name="z25" w:id="23"/>
    <w:p>
      <w:pPr>
        <w:spacing w:after="0"/>
        <w:ind w:left="0"/>
        <w:jc w:val="both"/>
      </w:pPr>
      <w:r>
        <w:rPr>
          <w:rFonts w:ascii="Times New Roman"/>
          <w:b w:val="false"/>
          <w:i w:val="false"/>
          <w:color w:val="000000"/>
          <w:sz w:val="28"/>
        </w:rPr>
        <w:t>
      12. Қалдықтармен жұмыс істеу саласындағы объектілер операторларынан түсетін есептілікті талдау, өзектілендіру және жүйелеу нәтижелері бойынша сәйкессіздіктерді, алшақтықтарды және дәлсіздіктерді анықтауды мемлекеттік экологиялық бақылау жүргізу кезінде қоршаған ортаны қорғау саласындағы уәкілетті орган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