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ad1a" w14:textId="8bda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15 шiлдедегі № 372 бұйрығы. Қазақстан Республикасының Әділет министрлігінде 2021 жылғы 22 шiлдеде № 23660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xml:space="preserve">
      </w:t>
      </w:r>
      <w:r>
        <w:rPr>
          <w:rFonts w:ascii="Times New Roman"/>
          <w:b/>
          <w:i w:val="false"/>
          <w:color w:val="000000"/>
          <w:sz w:val="28"/>
        </w:rPr>
        <w:t xml:space="preserve">Осы бұйрықтың қолданысқа енгізілу тәртібін </w:t>
      </w:r>
      <w:r>
        <w:rPr>
          <w:rFonts w:ascii="Times New Roman"/>
          <w:b w:val="false"/>
          <w:i w:val="false"/>
          <w:color w:val="000000"/>
          <w:sz w:val="28"/>
        </w:rPr>
        <w:t>4 т</w:t>
      </w:r>
      <w:r>
        <w:rPr>
          <w:rFonts w:ascii="Times New Roman"/>
          <w:b/>
          <w:i w:val="false"/>
          <w:color w:val="00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17001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өндіруге арналған лицензия беру үшін өтініш беру және оны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Пайдалы қатты қазбаларды өндіруге арналған лицензияны:</w:t>
      </w:r>
    </w:p>
    <w:bookmarkEnd w:id="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25-бабының</w:t>
      </w:r>
      <w:r>
        <w:rPr>
          <w:rFonts w:ascii="Times New Roman"/>
          <w:b w:val="false"/>
          <w:i w:val="false"/>
          <w:color w:val="000000"/>
          <w:sz w:val="28"/>
        </w:rPr>
        <w:t xml:space="preserve"> 2-тармағында көзделген жағдайларда;</w:t>
      </w:r>
    </w:p>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адамның пайдалануында болған, ал оған тең Кодекс қолданысқа енгізілгенге дейін осындай адамның келісімінсіз болған,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 бойынша жер қойнауын пайдалануға арналған келісімшартқа тау-кендік бөлуде не болмаса көмірсутектерді өндіруге арналған келісімшартты жасасу туралы қолданыстағы хаттамамен айқындалған жер қойнауын пайдалану учаскесінің аумағында; </w:t>
      </w:r>
    </w:p>
    <w:p>
      <w:pPr>
        <w:spacing w:after="0"/>
        <w:ind w:left="0"/>
        <w:jc w:val="both"/>
      </w:pPr>
      <w:r>
        <w:rPr>
          <w:rFonts w:ascii="Times New Roman"/>
          <w:b w:val="false"/>
          <w:i w:val="false"/>
          <w:color w:val="000000"/>
          <w:sz w:val="28"/>
        </w:rPr>
        <w:t>
      3) пайдалы қатты қазбаларды барлау және (немесе) өндіру жөніндегі операцияларды жүргізу үшін берілген жер қойнауы учаскесінің аумағында, ал оған тең қатты пайдалы қазбалар немесе кең таралған пайдалы қазбалар бойынша жер қойнауын пайдалануға арналған келісімшартқа геологиялық және (немесе) тау-кендік бөлуде айқындалған келісімшарттық аумақта оған қатысты Кодекс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және (немесе) өндіруге келісімшарт жасасу туралы хаттама қолданылатын аумақта;</w:t>
      </w:r>
    </w:p>
    <w:p>
      <w:pPr>
        <w:spacing w:after="0"/>
        <w:ind w:left="0"/>
        <w:jc w:val="both"/>
      </w:pPr>
      <w:r>
        <w:rPr>
          <w:rFonts w:ascii="Times New Roman"/>
          <w:b w:val="false"/>
          <w:i w:val="false"/>
          <w:color w:val="000000"/>
          <w:sz w:val="28"/>
        </w:rPr>
        <w:t>
      4) Жер қойнауы кеңістігін пайдалану жөніндегі операцияларды жүргізу үшін берілген жер қойнауы учаскесінің аумағында, ал оған тең барлаумен және (немесе) өндірумен байланысты емес жерасты құрылыстарын салуға және (немесе) пайдалануға арналған келісімшартқа тау-кендік бөлумен айқындалған келісімшарттық аумақта, сондай-ақ оған қатысты Кодекс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барлаумен және (немесе) өндірумен байланысты емес жерасты құрылыстарын салуға және (немесе) пайдалануға келісімшарт жасасу туралы хаттама қолданылатын аумақта;</w:t>
      </w:r>
    </w:p>
    <w:p>
      <w:pPr>
        <w:spacing w:after="0"/>
        <w:ind w:left="0"/>
        <w:jc w:val="both"/>
      </w:pPr>
      <w:r>
        <w:rPr>
          <w:rFonts w:ascii="Times New Roman"/>
          <w:b w:val="false"/>
          <w:i w:val="false"/>
          <w:color w:val="000000"/>
          <w:sz w:val="28"/>
        </w:rPr>
        <w:t>
      5) пайдалы қатты қазбаларды барлаудың немесе өндірудің салдарларын жою жүргізілетін жер қойнауы учаскесінің аумағында;</w:t>
      </w:r>
    </w:p>
    <w:p>
      <w:pPr>
        <w:spacing w:after="0"/>
        <w:ind w:left="0"/>
        <w:jc w:val="both"/>
      </w:pPr>
      <w:r>
        <w:rPr>
          <w:rFonts w:ascii="Times New Roman"/>
          <w:b w:val="false"/>
          <w:i w:val="false"/>
          <w:color w:val="000000"/>
          <w:sz w:val="28"/>
        </w:rPr>
        <w:t>
      6) құрамында уран кен орны немесе сирек кездесетін жер-уран кен орны бар жер қойнауы учаскесінің аумағында беруге жол берілмейді.";</w:t>
      </w:r>
    </w:p>
    <w:bookmarkStart w:name="z21"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"9) егер өтініш айрықша құқықтан басқа берілсе, өтініш берушіде пайдалы қатты қазбаларды өндіру жөніндегі операцияларды жүзеге асырудың қаржылық, кәсіптік және техникалық мүмкіндіктерінің болуын растайтын құжаттар;";</w:t>
      </w:r>
    </w:p>
    <w:bookmarkEnd w:id="5"/>
    <w:bookmarkStart w:name="z7" w:id="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өтініш берушіде лицензия беруге өтініш берілетін күннің алдындағы алты ай шегінде отыз күндік мерзім ішінде сұратылған лицензия қолданысының бірінші жылында өндіруге талап етілетін ең төмен шығыстарды өтеу үшін жеткілікті мөлшерде ақшаның тұрақты болуын (қалдығын) растайтын, Қазақстан Республикасының екінші деңгейдегі банктегі банктік шот бойынша ақша қалдығы және қозғалысы туралы үзінді көшірме.</w:t>
      </w:r>
    </w:p>
    <w:bookmarkEnd w:id="7"/>
    <w:p>
      <w:pPr>
        <w:spacing w:after="0"/>
        <w:ind w:left="0"/>
        <w:jc w:val="both"/>
      </w:pPr>
      <w:r>
        <w:rPr>
          <w:rFonts w:ascii="Times New Roman"/>
          <w:b w:val="false"/>
          <w:i w:val="false"/>
          <w:color w:val="000000"/>
          <w:sz w:val="28"/>
        </w:rPr>
        <w:t>
      Егер қаражат қозғалысы бойынша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аз болса, онда мұндай үзінді-көшірме өтініш берушінің қаржылық мүмкіндіктерінің болуын растайтын құжат болып танылмайды. Өтініш берушіде қаржылық мүмкіндіктерді растау мақсаттары үшін бір екінші деңгейдегі банкте бірнеше шоттар болған кезде жиынтығында олар бойынша үзінді-көшірмелер ұсынылған бірнеше шоттар бойынша ақша қаражатының қалдығы және қозғалысы туралы мәліметтер де ескеріледі;</w:t>
      </w:r>
    </w:p>
    <w:bookmarkStart w:name="z9" w:id="8"/>
    <w:p>
      <w:pPr>
        <w:spacing w:after="0"/>
        <w:ind w:left="0"/>
        <w:jc w:val="both"/>
      </w:pPr>
      <w:r>
        <w:rPr>
          <w:rFonts w:ascii="Times New Roman"/>
          <w:b w:val="false"/>
          <w:i w:val="false"/>
          <w:color w:val="000000"/>
          <w:sz w:val="28"/>
        </w:rPr>
        <w:t>
      2) қарыз шартының (алдын ала қарыз шартының), қарыздың нысаналы мақсаты ретінде өтініш берушінің пайдалы қатты қазбаларды өндіру жөніндегі қызметін қаржыландыруды көздейтін, сондай-ақ сұратылатын лицензия қолданысының бірінші жылында өндіруге талап етілетін ең төмен шығыстарды жабу үшін жеткілікті қарыз (қаржыландыру) сомасын растайтын қызметті қаржыландыру туралы шарттың көшірмелері;</w:t>
      </w:r>
    </w:p>
    <w:bookmarkEnd w:id="8"/>
    <w:bookmarkStart w:name="z10" w:id="9"/>
    <w:p>
      <w:pPr>
        <w:spacing w:after="0"/>
        <w:ind w:left="0"/>
        <w:jc w:val="both"/>
      </w:pPr>
      <w:r>
        <w:rPr>
          <w:rFonts w:ascii="Times New Roman"/>
          <w:b w:val="false"/>
          <w:i w:val="false"/>
          <w:color w:val="000000"/>
          <w:sz w:val="28"/>
        </w:rPr>
        <w:t>
      3) өтініш берушінің Қазақстан Республикасының аудиторлық қызмет туралы заңнамасына сәйкес жасалған, қатарынан күнтізбелік алты ай немесе лицензия беруге өтініш берілген күннің алдындағы алдыңғы күнтізбелік жыл ішінде дайындалған, өтініш берушінің таза активтерінің мөлшері сұрау салынған лицензия қолданысының бірінші жылында өндіруге жұмсалатын ең төменгі шығыстардың шамасына арналған өз міндеттемелерінен асатын аудиторлық есебі бар қаржылық есептілігі;";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xml:space="preserve">
      "21. Жер қойнауын зерттеу жөніндегі уәкілетті орган сұралып отырған жер қойнауы учаскесінің шекараларын келіскен жағдайда құзыретті орган үш жұмыс күні ішінде өтініш берушіге осы Кодекстің тиісінше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тау-кен жұмыстары жоспарында сипатталған өндіру жөніндегі операцияларға тиісті экологиялық рұқсат алу, тау-кен жұмыстары жоспарына және жою жоспарына сараптамалар мен келісулер жүргізу қажеттігі туралы хабарлама жібереді. Хабарлама өтініш берушіге жіберілген күннен бастап екі жұмыс күні ішінде құзыретті органның интернет-ресурсында орналастырылады.</w:t>
      </w:r>
    </w:p>
    <w:bookmarkEnd w:id="10"/>
    <w:p>
      <w:pPr>
        <w:spacing w:after="0"/>
        <w:ind w:left="0"/>
        <w:jc w:val="both"/>
      </w:pPr>
      <w:r>
        <w:rPr>
          <w:rFonts w:ascii="Times New Roman"/>
          <w:b w:val="false"/>
          <w:i w:val="false"/>
          <w:color w:val="000000"/>
          <w:sz w:val="28"/>
        </w:rPr>
        <w:t>
      Тау-кен жұмыстары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етілген күннен бастап бір жылдан кешіктірмей ұсынылады.</w:t>
      </w:r>
    </w:p>
    <w:p>
      <w:pPr>
        <w:spacing w:after="0"/>
        <w:ind w:left="0"/>
        <w:jc w:val="both"/>
      </w:pPr>
      <w:r>
        <w:rPr>
          <w:rFonts w:ascii="Times New Roman"/>
          <w:b w:val="false"/>
          <w:i w:val="false"/>
          <w:color w:val="000000"/>
          <w:sz w:val="28"/>
        </w:rPr>
        <w:t>
      Өтініш беруші құзыретті органға мұндай ұзарту қажеттілігін негіздей отырып, көрсетілген мерзімді ұзарту үшін жүгінеді. Құзыретті орган осы мерзімді, егер мұндай ұзарту қажеттілігі өтініш берушіге байланысты емес мән-жайлардан туындаса, осы тармақтың екінші бөлігінде көрсетілген мерзім өткен күннен бастап бір жылдан аспайтын кезеңге ұзартады.</w:t>
      </w:r>
    </w:p>
    <w:bookmarkStart w:name="z13" w:id="11"/>
    <w:p>
      <w:pPr>
        <w:spacing w:after="0"/>
        <w:ind w:left="0"/>
        <w:jc w:val="both"/>
      </w:pPr>
      <w:r>
        <w:rPr>
          <w:rFonts w:ascii="Times New Roman"/>
          <w:b w:val="false"/>
          <w:i w:val="false"/>
          <w:color w:val="000000"/>
          <w:sz w:val="28"/>
        </w:rPr>
        <w:t>
      22. Құзыретті орган өтініш берушіге пайдалы қатты қазбаларды өндіруге арналған лицензияны қажетті келісулер, сараптамалардың оң қорытындылары және тау-кен жұмыстары жоспарында сипатталған өндіру жөніндегі операцияларға тиісті экологиялық рұқсаттың көшірмелері ұсынылған күннен бастап бес жұмыс күнінен кешіктірмей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"28. Құзыретті орган мынадай негіздемелердің бірі болған кезде:</w:t>
      </w:r>
    </w:p>
    <w:bookmarkEnd w:id="12"/>
    <w:p>
      <w:pPr>
        <w:spacing w:after="0"/>
        <w:ind w:left="0"/>
        <w:jc w:val="both"/>
      </w:pPr>
      <w:r>
        <w:rPr>
          <w:rFonts w:ascii="Times New Roman"/>
          <w:b w:val="false"/>
          <w:i w:val="false"/>
          <w:color w:val="000000"/>
          <w:sz w:val="28"/>
        </w:rPr>
        <w:t>
      1) өтініш немесе оған қоса берілген құжаттар осы Қағидаларда көзделген талаптарға сәйкес келмесе;</w:t>
      </w:r>
    </w:p>
    <w:p>
      <w:pPr>
        <w:spacing w:after="0"/>
        <w:ind w:left="0"/>
        <w:jc w:val="both"/>
      </w:pPr>
      <w:r>
        <w:rPr>
          <w:rFonts w:ascii="Times New Roman"/>
          <w:b w:val="false"/>
          <w:i w:val="false"/>
          <w:color w:val="000000"/>
          <w:sz w:val="28"/>
        </w:rPr>
        <w:t>
      2) өтінішке осы Қағидаларда талап етілетін құжаттар қоса берілмесе;</w:t>
      </w:r>
    </w:p>
    <w:p>
      <w:pPr>
        <w:spacing w:after="0"/>
        <w:ind w:left="0"/>
        <w:jc w:val="both"/>
      </w:pPr>
      <w:r>
        <w:rPr>
          <w:rFonts w:ascii="Times New Roman"/>
          <w:b w:val="false"/>
          <w:i w:val="false"/>
          <w:color w:val="000000"/>
          <w:sz w:val="28"/>
        </w:rPr>
        <w:t>
      3) өтініш бергенге дейін бір жыл ішінде өтініш иесінің немесе өтініш иесін тікелей не жанама бақылайтын немесе оның бақылауындағы тұлғаның жер қойнауын пайдалануға арналған лицензиясын Кодексте көзделген негіздер бойынша жер қойнауының сұралатын учаскесі бойынша құзыретті орган қайтарып алған болса;</w:t>
      </w:r>
    </w:p>
    <w:p>
      <w:pPr>
        <w:spacing w:after="0"/>
        <w:ind w:left="0"/>
        <w:jc w:val="both"/>
      </w:pPr>
      <w:r>
        <w:rPr>
          <w:rFonts w:ascii="Times New Roman"/>
          <w:b w:val="false"/>
          <w:i w:val="false"/>
          <w:color w:val="000000"/>
          <w:sz w:val="28"/>
        </w:rPr>
        <w:t>
      4) өтініш берілген күннің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пайдалануындағы жер қойнауы учаскелеріндегі жер қойнауын пайдалану салдарын жою бойынша міндеттемелерін орындамаса немесе тиісінше орындамаса;</w:t>
      </w:r>
    </w:p>
    <w:p>
      <w:pPr>
        <w:spacing w:after="0"/>
        <w:ind w:left="0"/>
        <w:jc w:val="both"/>
      </w:pPr>
      <w:r>
        <w:rPr>
          <w:rFonts w:ascii="Times New Roman"/>
          <w:b w:val="false"/>
          <w:i w:val="false"/>
          <w:color w:val="000000"/>
          <w:sz w:val="28"/>
        </w:rPr>
        <w:t>
      5) өтініш иесіне не өтініш иесін тікелей немесе жанама түрде бақылайтын немесе оның бақылауындағы тұлғаға бұрын берілген жер қойнауын пайдалану құқығы сұралатын жер қойнауы учаскесіне (оның бір бөлігіне) қатысты өтініш берілгенге дейін бір жыл ішінде тоқтатылса;</w:t>
      </w:r>
    </w:p>
    <w:p>
      <w:pPr>
        <w:spacing w:after="0"/>
        <w:ind w:left="0"/>
        <w:jc w:val="both"/>
      </w:pPr>
      <w:r>
        <w:rPr>
          <w:rFonts w:ascii="Times New Roman"/>
          <w:b w:val="false"/>
          <w:i w:val="false"/>
          <w:color w:val="000000"/>
          <w:sz w:val="28"/>
        </w:rPr>
        <w:t>
      6) лицензияны беру ұлттық қауіпсіздікке қауіп туындауына алып келетін болса;</w:t>
      </w:r>
    </w:p>
    <w:p>
      <w:pPr>
        <w:spacing w:after="0"/>
        <w:ind w:left="0"/>
        <w:jc w:val="both"/>
      </w:pPr>
      <w:r>
        <w:rPr>
          <w:rFonts w:ascii="Times New Roman"/>
          <w:b w:val="false"/>
          <w:i w:val="false"/>
          <w:color w:val="000000"/>
          <w:sz w:val="28"/>
        </w:rPr>
        <w:t>
      7) сұралатын жер қойнауы учаскесі немесе оның бір бөлігі жер қойнауының кеңістігін пайдалануға арналған лицензия не пайдалы қатты қазбаларды барлауға немесе өндіруге арналған лицензия бойынша басқа тұлғаның пайдалануындағы жер қойнауы учаскесіне жатса;</w:t>
      </w:r>
    </w:p>
    <w:p>
      <w:pPr>
        <w:spacing w:after="0"/>
        <w:ind w:left="0"/>
        <w:jc w:val="both"/>
      </w:pPr>
      <w:r>
        <w:rPr>
          <w:rFonts w:ascii="Times New Roman"/>
          <w:b w:val="false"/>
          <w:i w:val="false"/>
          <w:color w:val="000000"/>
          <w:sz w:val="28"/>
        </w:rPr>
        <w:t>
      8) сұралатын жер қойнауы учаскесінің шекаралары Кодекстің талаптарына сәйкес келмесе;</w:t>
      </w:r>
    </w:p>
    <w:p>
      <w:pPr>
        <w:spacing w:after="0"/>
        <w:ind w:left="0"/>
        <w:jc w:val="both"/>
      </w:pPr>
      <w:r>
        <w:rPr>
          <w:rFonts w:ascii="Times New Roman"/>
          <w:b w:val="false"/>
          <w:i w:val="false"/>
          <w:color w:val="000000"/>
          <w:sz w:val="28"/>
        </w:rPr>
        <w:t>
      9) өтініш иесі Кодекстің талаптарына сәйкес келісілген тау-кен жұмыстары жоспарының жобасын құзыретті органға беру мерзімін сақтамаса, пайдалы қатты қазбаларды өндіруге арналған лицензияны беруден бас тартады.</w:t>
      </w:r>
    </w:p>
    <w:p>
      <w:pPr>
        <w:spacing w:after="0"/>
        <w:ind w:left="0"/>
        <w:jc w:val="both"/>
      </w:pPr>
      <w:r>
        <w:rPr>
          <w:rFonts w:ascii="Times New Roman"/>
          <w:b w:val="false"/>
          <w:i w:val="false"/>
          <w:color w:val="000000"/>
          <w:sz w:val="28"/>
        </w:rPr>
        <w:t>
      Өтініште көрсетілген (бұрыштық нүктелердің алаңы мен географиялық координаттары туралы мәліметтерден басқа) мәліметтерде грамматикалық немесе арифметикалық қателердің, мөрлердің болуы, олар лицензияны беру туралы шешім қабылдауға әсер етпейді және өтінішке қоса берілетін құжаттармен салыстыру арқылы анықталады, сондай-ақ тексеріледі, лицензия беруден бас тартуға негіз болып табылмайды.".</w:t>
      </w:r>
    </w:p>
    <w:bookmarkStart w:name="z16"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13"/>
    <w:bookmarkStart w:name="z17"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2021 жылғы 1 шілдеден бастап қолданысқа енгізілетін осы бұйрықтың 1-тармағының он тоғызыншы, жиырмасыншы, жиырма бірінші және жиырма екінші абзацтарын қоспағанда, алғашқы ресми жарияланған күнінен бастап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