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4359" w14:textId="a114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14 шiлдедегі № 339 бұйрығы. Қазақстан Республикасының Әділет министрлігінде 2021 жылғы 15 шiлдеде № 23542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(Г. Көбенова)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7"/>
    <w:bookmarkStart w:name="z9" w:id="8"/>
    <w:p>
      <w:pPr>
        <w:spacing w:after="0"/>
        <w:ind w:left="0"/>
        <w:jc w:val="both"/>
      </w:pPr>
      <w:r>
        <w:rPr>
          <w:rFonts w:ascii="Times New Roman"/>
          <w:b w:val="false"/>
          <w:i w:val="false"/>
          <w:color w:val="000000"/>
          <w:sz w:val="28"/>
        </w:rPr>
        <w:t>
      4. Осы бұйрық 2022 жылғы 1 қаңтардан бастап күшіне енетін біліктілік талаптарының 110-1 тармағын қоспағанда, алғашқы ресми жарияланған күнінен кейін алпыс күнтізбелік күн өткеннен кейін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391 бұйрығымен бекітілген</w:t>
            </w:r>
          </w:p>
        </w:tc>
      </w:tr>
    </w:tbl>
    <w:bookmarkStart w:name="z12" w:id="9"/>
    <w:p>
      <w:pPr>
        <w:spacing w:after="0"/>
        <w:ind w:left="0"/>
        <w:jc w:val="left"/>
      </w:pPr>
      <w:r>
        <w:rPr>
          <w:rFonts w:ascii="Times New Roman"/>
          <w:b/>
          <w:i w:val="false"/>
          <w:color w:val="000000"/>
        </w:rPr>
        <w:t xml:space="preserve"> Білім беру қызметіне қойылатын біліктілік талаптары және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үлгілік оқу жоспарларына және Қазақстан Республикасы Білім және ғылым министрінің 2018 жылғы 31 қазандағы № 604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17669 болып тіркелген) (бұдан әрі – № 604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бейіндері бойынша педагогикалық білімі бар педагогтердің болуы.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жалпы білім беретін мектептер, мектеп-гимназиялар, мектеп-лицейлер үшін кемінде 25 %;</w:t>
            </w:r>
          </w:p>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гимназиялар үшін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нормаларға сәйкес оқу және көркем әдебиет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ұйымдарымен медициналық қызмет көрсетуге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туралы мәлімет, оның ішінде медициналық пункттің және медициналық қызметке берілген лицензияның болуы туралы мәлімет (осы біліктілік талаптарына 3-ші қосымшаға сәйкес нысан бойынша).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2017 жылғы 17 ақпандағы № 71 қаулысының 16 бабының </w:t>
            </w:r>
            <w:r>
              <w:rPr>
                <w:rFonts w:ascii="Times New Roman"/>
                <w:b w:val="false"/>
                <w:i w:val="false"/>
                <w:color w:val="000000"/>
                <w:sz w:val="20"/>
              </w:rPr>
              <w:t>132-1) тармақшасына</w:t>
            </w:r>
            <w:r>
              <w:rPr>
                <w:rFonts w:ascii="Times New Roman"/>
                <w:b w:val="false"/>
                <w:i w:val="false"/>
                <w:color w:val="000000"/>
                <w:sz w:val="20"/>
              </w:rPr>
              <w:t xml:space="preserve"> сәйкес бекітілген (бұдан әрі – № 71 қаулы)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не сенімгерлік басқару құқығында тиесілі материалдық активтердің болуы немесе № 71 қаулыға сәйкес бекітілген санитариялық нормаларға және Қазақстан Республикасы Ішкі істер министрінің 2017 жылғы 23 маусымдағы № 439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15501 болып тіркелген) (бұдан әрі – № 439 бұйрық)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2020 жылғы 2 наурыздағы № 79 бұйрығымен (бұдан әрі – № 79 бұйрық)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 604 бұйрыққа және Қазақстан Республикасы Білім және ғылым министрінің 2018 жылғы 30 қазандағы № 595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17657 болып тіркелген) (бұдан әрі – 595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ғимаратта № 71 </w:t>
            </w:r>
            <w:r>
              <w:rPr>
                <w:rFonts w:ascii="Times New Roman"/>
                <w:b w:val="false"/>
                <w:i w:val="false"/>
                <w:color w:val="000000"/>
                <w:sz w:val="20"/>
              </w:rPr>
              <w:t>қаулыға</w:t>
            </w:r>
            <w:r>
              <w:rPr>
                <w:rFonts w:ascii="Times New Roman"/>
                <w:b w:val="false"/>
                <w:i w:val="false"/>
                <w:color w:val="000000"/>
                <w:sz w:val="20"/>
              </w:rPr>
              <w:t xml:space="preserve"> сәйкес санитариялық нормаларға сәйкес санитариялық тораптардың (унитаздар, қолжуғыш раковиналар) болуы.</w:t>
            </w:r>
          </w:p>
          <w:p>
            <w:pPr>
              <w:spacing w:after="20"/>
              <w:ind w:left="20"/>
              <w:jc w:val="both"/>
            </w:pPr>
            <w:r>
              <w:rPr>
                <w:rFonts w:ascii="Times New Roman"/>
                <w:b w:val="false"/>
                <w:i w:val="false"/>
                <w:color w:val="000000"/>
                <w:sz w:val="20"/>
              </w:rPr>
              <w:t xml:space="preserve">
Мемлекеттік білім беру ұйымдары үшін Қазақстан Республикасы Білім және ғылым министрінің 2019 жылғы 23 қаңтардағы № 32 және Ішкі істер министрінің 2019 жылғы 23 қаңтардағы № 49 </w:t>
            </w:r>
            <w:r>
              <w:rPr>
                <w:rFonts w:ascii="Times New Roman"/>
                <w:b w:val="false"/>
                <w:i w:val="false"/>
                <w:color w:val="000000"/>
                <w:sz w:val="20"/>
              </w:rPr>
              <w:t>бұйрықтарымен</w:t>
            </w:r>
            <w:r>
              <w:rPr>
                <w:rFonts w:ascii="Times New Roman"/>
                <w:b w:val="false"/>
                <w:i w:val="false"/>
                <w:color w:val="000000"/>
                <w:sz w:val="20"/>
              </w:rPr>
              <w:t xml:space="preserve"> (Нормативтік құқықтық актілерді мемлекеттік тіркеу тізілімінде № 18239 болып тіркелген) бекітілген бірлескен бұйрыққа (бұдан әрі – № 32 және № 49 бұйрықтар)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 Жаңадан құрылған білім беру ұйымдарында жеке пайдалануға арналған жабдықталған шкафтар саны болжамды жиынтық бойынша анықталады, жұмыс істеп тұрған білім беру ұйымдарында контингент бойынша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үшін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нормаларға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салауаттылығы саласындағы уәкілетті органның санитариялық-эпидемиологиялық қорытындысы немесе № 71 </w:t>
            </w:r>
            <w:r>
              <w:rPr>
                <w:rFonts w:ascii="Times New Roman"/>
                <w:b w:val="false"/>
                <w:i w:val="false"/>
                <w:color w:val="000000"/>
                <w:sz w:val="20"/>
              </w:rPr>
              <w:t>қаулыға</w:t>
            </w:r>
            <w:r>
              <w:rPr>
                <w:rFonts w:ascii="Times New Roman"/>
                <w:b w:val="false"/>
                <w:i w:val="false"/>
                <w:color w:val="000000"/>
                <w:sz w:val="20"/>
              </w:rPr>
              <w:t xml:space="preserve">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 № 604 және № 595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ғимаратта № 71 қаулыға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 604 бұйрықпен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Жалпы білім беретін мектептер, мектеп-гимназиялар, мектеп-лицейлер үшін жалпы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нормаларға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әдебиеттің кітапханалық қорының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пунктінің және медициналық қызметке лицензияның болуы туралы мәліметтер (осы біліктілік талаптарына 3-қосымшаға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 71 қаулыға сәйкес бекітілген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тамақтандыру объектісінің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туралы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71 қаулымен бекітілген санитариялық нормаларға және № 439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ғимаратты жалдау шартының көшірмелері; санитариялық-эпидемиологиялық қорытындының/актінің көшірмесі;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 бұйрықпен бекітілген білім беру ұйымдарындағы пайдаланылатын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 № 604 және № 595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ғимаратта № 71 қаулыға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 жасау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жағдай туралы мәлімет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"Халық денсаулығы және денсаулық сақтау жүйесі туралы" Кодекстің (бұдан әрі – Кодекс)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үлгілік оқу жоспарларына (бар болса) (қазақ және орыс тілдерінде)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p>
          <w:p>
            <w:pPr>
              <w:spacing w:after="20"/>
              <w:ind w:left="20"/>
              <w:jc w:val="both"/>
            </w:pPr>
            <w:r>
              <w:rPr>
                <w:rFonts w:ascii="Times New Roman"/>
                <w:b w:val="false"/>
                <w:i w:val="false"/>
                <w:color w:val="000000"/>
                <w:sz w:val="20"/>
              </w:rPr>
              <w:t>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604 бұйрықпен бекітілген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Қазақстан Республикасы Білім және ғылым министрінің 2018 жылғы 26 маусымдағы № 305 (бұдан әрі – 305) бұйрығымен бекітілген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 қажеттіліктері бар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90 %-ын жұмысқа орналастыруды қамтамасыз ететін білім беру ұйымдарын қоспағанда, Қазақстан Республикасы Білім және ғылым министрінің 2018 жылғы 27 қыркүйектегі № 500 бұйрығымен (Нормативтік құқықтық актілерді мемлекеттік тіркеу тізілімінде № 17564 болып тіркелген) (бұдан әрі - № 500 бұйрық)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мамандық бойынша бітірушілердің кемінде 90 %-ын жұмысқа орналастыруды қамтамасыз ететін білім беру ұйымдарын қоспағанда, кемінде денсаулық сақтау саласындағы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қылмыстық-атқару (пенитенциарлық) жүйесі мекемелерінің жанында орналасқан білім беру ұйымдарында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ұйымын қоспағанда, колледждердің білім алушыларды соңғы 2 жыл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педагог-сарапшылардың, педагог-зерттеушілердің, педагог-шеберлердің және (немесе) магистрлердің үлесі – кемінде 30 %.</w:t>
            </w:r>
          </w:p>
          <w:p>
            <w:pPr>
              <w:spacing w:after="20"/>
              <w:ind w:left="20"/>
              <w:jc w:val="both"/>
            </w:pPr>
            <w:r>
              <w:rPr>
                <w:rFonts w:ascii="Times New Roman"/>
                <w:b w:val="false"/>
                <w:i w:val="false"/>
                <w:color w:val="000000"/>
                <w:sz w:val="20"/>
              </w:rPr>
              <w:t>
Даярланатын мамандық біліктілігі бойынша лицензиат негізгі жұмыс орны болып табылатын педагогтер санынан ұйымдарда және/немесе өндірісте кемінде соңғы 3 жылда кемінде 72 сағат көлемінде тағылымдамадан өткен арнайы пәндер педагогтерінің және өндірістік оқыту шеберлерінің үлесі – кемінде 10 %.</w:t>
            </w:r>
          </w:p>
          <w:p>
            <w:pPr>
              <w:spacing w:after="20"/>
              <w:ind w:left="20"/>
              <w:jc w:val="both"/>
            </w:pPr>
            <w:r>
              <w:rPr>
                <w:rFonts w:ascii="Times New Roman"/>
                <w:b w:val="false"/>
                <w:i w:val="false"/>
                <w:color w:val="000000"/>
                <w:sz w:val="20"/>
              </w:rPr>
              <w:t>
Даярланатын мамандық біліктілігі бойынша педагогтер санынан рухани білім беру бағдарламаларын іске асыратын білім беру ұйымдары үшін жалпы білім беретін пәндер бойынша жоғары білімі бар, бейіндеуші пәндер бойынша - бейіні бойынша жоғары білімі бар және/немесе діни салада кемінде бес жыл жалпы жұмыс өтілі бар рухани семинарияны немесе медресені бітірген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қаулыға сәйкес санитариялық талаптарға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қаулыға сәйкес бекітілген санитариялық тәртіпке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 Шаруашылық жүргізу немесе жедел басқару немесе сенімді басқару құқығын растайтын құжаттардың немесе ғимаратқа жалдау шартының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66 бұйрығына (Нормативтік құқықтық актілерді мемлекеттік тіркеу тізілімінде № 13487 болып тіркелген) (бұдан әрі – № 66 бұйрық) сәйкес студенттердің тұруы үшін жағдай жасау, меншікті не шаруашылық жүргізу немесе жедел басқару немесе сенімді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 Денсаулық сақтау саласындағы білім беру ұйымдары үшін Қазақстан Республикасы Денсаулық сақтау және әлеуметтік даму министрінің 2015 жылғы 29 мамырдағы № 423 бұйрығымен (Нормативтік құқықтық актілерді мемлекеттік тіркеу тізілімінде № 11644 болып тіркелген) (бұдан әрі – № 423 бұйрық) бекітілген нормативтерге сәйкес симуляциялық кабинеттермен (орталықтармен) жабдықталуы.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бөлімдердің және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жөніндегі өзара іс-қимыл туралы жоғары оқу орындарымен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оқыту құралдарының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1-тармағына сәйкес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тиісті бейін бойынша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және Қазақстан Республикасы Бас прокуратураға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медициналық және фармацевтикалық мамандықтар Кодекстің 221 бабының 2 тармағына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 дайындалатын мамандық біліктіліктері бойынша оқу жұмыс жоспарларының № 604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604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(қазақ және орыс тілдерінде) үлгілік оқу жоспарларына (бар болса)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604 бұйрықпен бекітілген техникалық және кәсіптік білім берудің мемлекеттік жалпыға міндетті стандартына және (немесе) Кодекстің 221 бабының </w:t>
            </w:r>
            <w:r>
              <w:rPr>
                <w:rFonts w:ascii="Times New Roman"/>
                <w:b w:val="false"/>
                <w:i w:val="false"/>
                <w:color w:val="000000"/>
                <w:sz w:val="20"/>
              </w:rPr>
              <w:t>2 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w:t>
            </w:r>
          </w:p>
          <w:p>
            <w:pPr>
              <w:spacing w:after="20"/>
              <w:ind w:left="20"/>
              <w:jc w:val="both"/>
            </w:pPr>
            <w:r>
              <w:rPr>
                <w:rFonts w:ascii="Times New Roman"/>
                <w:b w:val="false"/>
                <w:i w:val="false"/>
                <w:color w:val="000000"/>
                <w:sz w:val="20"/>
              </w:rPr>
              <w:t>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604 бұйрықпен бекітілген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мәлімделген шарттар бойынша уәкілетті орган бекіткен эксперимент режимінде іске асырылатын, сондай-ақ қылмыстық-атқару (пенитенциарлық) жүйесі мекемелерінің жанынан орналастырылған білім беру ұйымдарында адамдарды оқыту үшін және ерекше білім беру қажеттіліктері бар адамдарды оқыту үшін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 500 бұйрықпен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мамандығы бойынша бітірушілердің кемінде 90 %-ын жұмысқа орналастыруды қамтамасыз ететін білім беру ұйымдарын қоспағанда,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ұйымын қоспағанда, колледждердің білім алушыларды соңғы 2 жыл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72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даярланатын мамандық біліктілігі бойынша педагогтер санынан жоғары және бірінші санатты педагогтердің, педагог-сарапшылардың, педагог-зерттеушілердің, педагог-шеберлердің және (немесе) магистрлердің үлесі – кемінде 40 %;</w:t>
            </w:r>
          </w:p>
          <w:p>
            <w:pPr>
              <w:spacing w:after="20"/>
              <w:ind w:left="20"/>
              <w:jc w:val="both"/>
            </w:pPr>
            <w:r>
              <w:rPr>
                <w:rFonts w:ascii="Times New Roman"/>
                <w:b w:val="false"/>
                <w:i w:val="false"/>
                <w:color w:val="000000"/>
                <w:sz w:val="20"/>
              </w:rPr>
              <w:t>
Ұйымдарда және/немесе өндірісте кемінде соңғы 3 жылда кемінде 72 сағат көлемінде тағылымдамадан өткен, негізгі жұмыс орны лицензиат болып табылатын мамандық біліктілігі бойынша педагогтердің жалпы санынан арнайы пәндер педагогтерінің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жалпы білім беретін пәндер бойынша, жоғары білімі бар, бейінді пәндер бойынша - бейін бойынша жоғары білім және/немесе рухани семинарияны немесе медресені бітірген, діни салада кемінде бес жыл жалпы жұмыс өтілі бар даярланатын мамандық біліктілігі бойынша педагогтердің жалпы санынан педагогтердің үлесі – кемінде 50 %. Магистр дәрежесі,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қаулыға сәйкес санитариялық тәртіпке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71 қаулымен бекітілген санитариялық тәртіпке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Кодекстің 24 бабына сәйкес санитариялық нормаларға және № 439 бұйрықпен бекітілген өрт қауіпсіздігі талаптарына сәйкес келетін алаңы бар оқу үй-жайларының болуы.</w:t>
            </w:r>
          </w:p>
          <w:p>
            <w:pPr>
              <w:spacing w:after="20"/>
              <w:ind w:left="20"/>
              <w:jc w:val="both"/>
            </w:pPr>
            <w:r>
              <w:rPr>
                <w:rFonts w:ascii="Times New Roman"/>
                <w:b w:val="false"/>
                <w:i w:val="false"/>
                <w:color w:val="000000"/>
                <w:sz w:val="20"/>
              </w:rPr>
              <w:t>
Cанитариялық-эпидемиологиялық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бұйрыққа сәйкес студенттердің тұруы үшін жағдай жасау, меншікті не шаруашылық жүргізу, немесе жедел басқару, немесе сенімді басқару құқығында немесе жалдау құқығында оқудың толық кезеңінде тұруды қамтамасыз ететін жатақханалардың және/немесе хостелдердің және/немесе қонақ үйлердің болуы – мұқтаждар санының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сенімді басқару құқығында тиесілі студенттерді орналастыруға арналған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 79 бұйрыққа сәйкес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үшін № 423 бұйрықпен бекітілген нормативтерге сәйкес симуляциялық кабинеттермен (орталықтармен)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p>
          <w:p>
            <w:pPr>
              <w:spacing w:after="20"/>
              <w:ind w:left="20"/>
              <w:jc w:val="both"/>
            </w:pPr>
            <w:r>
              <w:rPr>
                <w:rFonts w:ascii="Times New Roman"/>
                <w:b w:val="false"/>
                <w:i w:val="false"/>
                <w:color w:val="000000"/>
                <w:sz w:val="20"/>
              </w:rPr>
              <w:t xml:space="preserve">
Денсаулық сақтау саласындағы білім беру ұйымдарының педагогтері үшін көлемі кемінде 108 сағат; білім беру ұйымдарының басшы кадрлары үшін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педагогтердің біліктілігін арттыру туралы мәліметтер көлемі кемінде 180 сағат; денсаулық сақтау саласындағы білім беру ұйымдарының педагогтері үшін көлемі кемінде 108 сағат; білім беру ұйымдарының басшылары үшін 5 жылда кемінде бір рет біліктілікті арттыру курстарының білім беру бағдарламаларына сәйкес және оқытылатын пәндердің/модульдердің бейіндері бойынша біліктілікті арттыру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бірінші жыл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біліктілігіне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бес жылдан кем емес,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қаулыға сәйкес саниятариялы тәртіпке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білім берудің мемлекеттік жалпыға міндетті стандартына сәйкестігі. "Педагогикалық ғылымдар" кадрларды даярлау бағыты бойынша білім беру бағдарламасының № 604 бұйрықпен бекітілген Орта білім берудің (бастауыш, негізгі, орта, жалпы орта білім беру) мемлекеттік жалпыға міндетті стандартын ескере отырып және білім беру саласындағы салалық біліктілік шеңберін, "Педагог" кәсіптік стандартын ескере отырып әзірленген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"Құқық" кадрларын даярлау бағыты бойынша білім беру саласындағы уәкілетті органның білім беру бағдарламаларының тізіліміне енгізілген кемінде үш білім беру бағдарламасының болуы және олардың № 604 бұйрықпен бекітілген Жоғары білім берудің мемлекеттік жалпыға міндетті стандартына сәйкестігі.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денсаулық сақтау саласында Жоғары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Кодекске сәйкес бекітілген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 Денсаулық сақтау министрлігіне ведомстволық бағынысты білім беру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Кадрлар даярлау бағыты бойынша оқытушылардың жалпы санынан негізгі жұмыс орны лицензиат болып табылатын Ұлттық біліктілік шеңберінің 8-деңгейіне сәйкес келетін мамандарды қоса алғанда, оқытушылардың үлесі – кемінде 60 %; "Өнер және гуманитарлық ғылымдар" кадрларды даярлау бағыты бойынша – кемінде 50 %; азаматтық авиация саласында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кадрларды даярлау бағыттары үшін: білім беру бағдарламасының пәндеріне сәйкес оқытушылардың болуы және олардың "ғылым кандидаты" немесе "ғылым докторы" немесе "философия докторы (PhD)" немесе "бейіні бойынша доктор" ғылыми дәрежелеріне немесе "философия докторы (PhD)" немесе "бейіні бойынша доктор" академиялық дәрежелеріне және/немесе "қауымдастырылған профессор (доцент)" немесе "профессор" (болған жағдайда) ғылыми атағының оқытатын пәндер бейініне сәйкестігі, лицензиат негізгі жұмыс орны болып табылатын Ұлттық біліктілік шеңберінің 8-деңгейіне сәйкес келетін мамандарды қоса алғанда, кадрларды даярлау бағыты бойынша оқытушылардың жалпы санынан оқытушылардың үлесі – кемінде 40 %;</w:t>
            </w:r>
          </w:p>
          <w:p>
            <w:pPr>
              <w:spacing w:after="20"/>
              <w:ind w:left="20"/>
              <w:jc w:val="both"/>
            </w:pPr>
            <w:r>
              <w:rPr>
                <w:rFonts w:ascii="Times New Roman"/>
                <w:b w:val="false"/>
                <w:i w:val="false"/>
                <w:color w:val="000000"/>
                <w:sz w:val="20"/>
              </w:rPr>
              <w:t>
"Құқық"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w:t>
            </w:r>
          </w:p>
          <w:p>
            <w:pPr>
              <w:spacing w:after="20"/>
              <w:ind w:left="20"/>
              <w:jc w:val="both"/>
            </w:pPr>
            <w:r>
              <w:rPr>
                <w:rFonts w:ascii="Times New Roman"/>
                <w:b w:val="false"/>
                <w:i w:val="false"/>
                <w:color w:val="000000"/>
                <w:sz w:val="20"/>
              </w:rPr>
              <w:t>
Негізгі жұмыс орны бойынша оқытылатын пәндер бейіні бойынша практикалық кәсіптік қызметпен айналысатын, кадрларды даярлау бағыты бойынша кемінде 3 жыл жұмыс өтілі бар қоса атқаратын оқытушылардың үлесі кадрларды даярлау бағыты бойынша оқытушылардың үлесі жалпы санынан кемінде –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50 %;</w:t>
            </w:r>
          </w:p>
          <w:p>
            <w:pPr>
              <w:spacing w:after="20"/>
              <w:ind w:left="20"/>
              <w:jc w:val="both"/>
            </w:pPr>
            <w:r>
              <w:rPr>
                <w:rFonts w:ascii="Times New Roman"/>
                <w:b w:val="false"/>
                <w:i w:val="false"/>
                <w:color w:val="000000"/>
                <w:sz w:val="20"/>
              </w:rPr>
              <w:t>
"Денсаулық сақтау" кадрларды даярлау бағыты бойынша денсаулық сақтау ұйымдарында клиникалық жұмыс және(немесе) санитариялық-эпидемиологиялық қызмет ұйымдарында, фармацевтикалық ұйымдарда практикалық жұмыс тәжірибесі кемінде 5 жыл болатын бейінді пәндер оқытушыларының кадр даярлау бағыты бойынша бейінді пәндер оқытушыларының жалпы санынан – кемінде 50 % үлесін құру.</w:t>
            </w:r>
          </w:p>
          <w:p>
            <w:pPr>
              <w:spacing w:after="20"/>
              <w:ind w:left="20"/>
              <w:jc w:val="both"/>
            </w:pPr>
            <w:r>
              <w:rPr>
                <w:rFonts w:ascii="Times New Roman"/>
                <w:b w:val="false"/>
                <w:i w:val="false"/>
                <w:color w:val="000000"/>
                <w:sz w:val="20"/>
              </w:rPr>
              <w:t>
"Құқық"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"Еңбек сіңірген жаттықтырушы" спорттық атағына ие оқытушылар – кемінде 40 %; кадрлар даярлау бағыты бойынша оқытушылардың жалпы санынан негізгі жұмыс орны лицензиат болып табылатын, "магистр" дәрежесі бар оқытушылардың үлесі – кемінде 60 %; "Педагогикалық ғылымдар" даярлау бағыты бойынша оқытушылардың жалпы санының кемінде – 50 %; "Құқық" кадрларды даярлау бағыты бойынша оқытушылардың жалпы санынан – кемінде 50 %;</w:t>
            </w:r>
          </w:p>
          <w:p>
            <w:pPr>
              <w:spacing w:after="20"/>
              <w:ind w:left="20"/>
              <w:jc w:val="both"/>
            </w:pPr>
            <w:r>
              <w:rPr>
                <w:rFonts w:ascii="Times New Roman"/>
                <w:b w:val="false"/>
                <w:i w:val="false"/>
                <w:color w:val="000000"/>
                <w:sz w:val="20"/>
              </w:rPr>
              <w:t>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кемінде 40 %, кадрларды даярлау бағыты бойынша оқытушылардың жалпы санынан негізгі жұмыс орны лицензиат болып табылатын, "магистр" дәрежесі бар оқытушылардың үлесі – кемінде 60 %;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кемінде - 40 %; кадрлар даярлау бағыты бойынша оқытушылардың жалпы санынан "магистр" дәрежесі бар оқытушылардың және/немесе резидентураны бітірген, базалық және бейінді пәндер және(немесе) лицензиат негізгі жұмыс орны болып табылатын дәрігердің жоғары/бірінші біліктілік санаты бар және (немесе) кемінде 5 жыл клиникалық жұмыс тәжірибесі бар оқытушылардың кадрларды даярлау бағыты бойынша оқытушылардың жалпы санынан үлесі 60 %-дан аспауы;</w:t>
            </w:r>
          </w:p>
          <w:p>
            <w:pPr>
              <w:spacing w:after="20"/>
              <w:ind w:left="20"/>
              <w:jc w:val="both"/>
            </w:pPr>
            <w:r>
              <w:rPr>
                <w:rFonts w:ascii="Times New Roman"/>
                <w:b w:val="false"/>
                <w:i w:val="false"/>
                <w:color w:val="000000"/>
                <w:sz w:val="20"/>
              </w:rPr>
              <w:t>
"Бизнес және басқару" (есеп және аудит, қаржы саласындағы білім беру бағдарламалары үшін), "Стандарттау, сертификаттау және метрология (салалар бойынша)", "Көлік қызметтері"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дәрежесі және/немесе қауымдастырылған профессор (доцент)", немесе "профессор" ғылыми атағы бар оқытушылардың үлесі кадрларды даярлау бағыты бойынша оқытушылардың жалпы санынан – кемінде 20 %;</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бағыттары бойынша лицензиат негізгі жұмыс орны болып табылатын, "ғылым кандидаты" немесе "ғылым докторы" немесе "философия докторы (PhD)" немесе "бейіні бойынша доктор" ғылыми дәрежелері немесе "философия докторы (PhD)" немесе "бейіні бойынша доктор" академиялық дәрежелері немесе "философия докторы (PhD)" немесе "бейіні бойынша доктор" дәрежелері және/немесе "қауымдастырылған профессор (доцент)" немесе "профессор" ғылыми атағы бар оқытушылардың үлесі кадрларды даярлау бағытының жалпы білім беретін пәндері бойынша оқытушылардың жалпы санынан кемінде – 30 %;</w:t>
            </w:r>
          </w:p>
          <w:p>
            <w:pPr>
              <w:spacing w:after="20"/>
              <w:ind w:left="20"/>
              <w:jc w:val="both"/>
            </w:pPr>
            <w:r>
              <w:rPr>
                <w:rFonts w:ascii="Times New Roman"/>
                <w:b w:val="false"/>
                <w:i w:val="false"/>
                <w:color w:val="000000"/>
                <w:sz w:val="20"/>
              </w:rPr>
              <w:t>
азаматтық авиация саласындағы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үлесі кемінде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p>
          <w:p>
            <w:pPr>
              <w:spacing w:after="20"/>
              <w:ind w:left="20"/>
              <w:jc w:val="both"/>
            </w:pPr>
            <w:r>
              <w:rPr>
                <w:rFonts w:ascii="Times New Roman"/>
                <w:b w:val="false"/>
                <w:i w:val="false"/>
                <w:color w:val="000000"/>
                <w:sz w:val="20"/>
              </w:rPr>
              <w:t>
Оның ішінде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w:t>
            </w:r>
          </w:p>
          <w:p>
            <w:pPr>
              <w:spacing w:after="20"/>
              <w:ind w:left="20"/>
              <w:jc w:val="both"/>
            </w:pPr>
            <w:r>
              <w:rPr>
                <w:rFonts w:ascii="Times New Roman"/>
                <w:b w:val="false"/>
                <w:i w:val="false"/>
                <w:color w:val="000000"/>
                <w:sz w:val="20"/>
              </w:rPr>
              <w:t>
"Денсаулық сақтау" бағыты бойынша дәлелді медицина бойынша халықаралық дерекқорларға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(бұдан әрі – ЖЖОКББҰ) оқу корпустарының жабдықталған медициналық пункттермен қамтамасыз етілуі. Медициналық қызметке лицензияның болуы.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ұйымдарында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етілгені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білім алушылары үшін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бекіткен санитариялық ережелер мен нормаларға сәйкес тамақтандыру объектісінің болуы туралы мәлімет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 қамтамасыз ету. "Денсаулық сақтау" кадрларын даярлау бағыты бойынша – меншікті не шаруашылық жүргізу немесе жедел басқару құқығында тиесілі клиникалармен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жүйесінің құрамында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"Ұлттық қауіпсіздік және әскери іс" бағыты бойынша білім беру бағдарламаларын іске асыратын білім беру ұйымдары үшін криминалистік полигонның болуы.</w:t>
            </w:r>
          </w:p>
          <w:p>
            <w:pPr>
              <w:spacing w:after="20"/>
              <w:ind w:left="20"/>
              <w:jc w:val="both"/>
            </w:pPr>
            <w:r>
              <w:rPr>
                <w:rFonts w:ascii="Times New Roman"/>
                <w:b w:val="false"/>
                <w:i w:val="false"/>
                <w:color w:val="000000"/>
                <w:sz w:val="20"/>
              </w:rPr>
              <w:t>
Кодекстің 24-бабына сәйкес санитариялық-эпидемиологиялық қызмет органдары берген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ерекше білім беру қажеттіліктері бар адамдар үшін ғимараттарда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мүгедектердің автокөліктерін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w:t>
            </w:r>
          </w:p>
          <w:p>
            <w:pPr>
              <w:spacing w:after="20"/>
              <w:ind w:left="20"/>
              <w:jc w:val="both"/>
            </w:pPr>
            <w:r>
              <w:rPr>
                <w:rFonts w:ascii="Times New Roman"/>
                <w:b w:val="false"/>
                <w:i w:val="false"/>
                <w:color w:val="000000"/>
                <w:sz w:val="20"/>
              </w:rPr>
              <w:t>
Edu. kz аймағында үшінші деңгейдегі домендік атаудың болуы. Медициналық бағыттар бойынша кадрлар даярлау үшін денсаулық сақтау саласындағы жоғары білім берудің мемлекеттік жалпыға міндетті стандартына сәйкес және Кодекске сәйкес бекітілген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 туралы мәлімет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оқу жылына арналған жоғары білімі бар мамандарды даярлауға арналған мемлекеттік тапсырысты бекіту жөніндегі Қазақстан Республикасы Үкіметінің 2021 жылғы 20 сәуірдегі № 253 </w:t>
            </w:r>
            <w:r>
              <w:rPr>
                <w:rFonts w:ascii="Times New Roman"/>
                <w:b w:val="false"/>
                <w:i w:val="false"/>
                <w:color w:val="000000"/>
                <w:sz w:val="20"/>
              </w:rPr>
              <w:t>қаулысымен</w:t>
            </w:r>
            <w:r>
              <w:rPr>
                <w:rFonts w:ascii="Times New Roman"/>
                <w:b w:val="false"/>
                <w:i w:val="false"/>
                <w:color w:val="000000"/>
                <w:sz w:val="20"/>
              </w:rPr>
              <w:t xml:space="preserve"> бекітілген тиісті оқу жылына арналған мемлекеттік білім беру тапсырысы құнының кемінде 30 %-ын құрайтын ақылы негізде бір білім алушыға білім беру ұйымдарының ең төменгі шығындарының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кемiнде бiр рет оқытушылардың біліктілігін арттыруды қамтамасыз ету; білім беру ұйымдарының басшылары үшін бес жылда кемінде бір рет менеджмент саласында біліктілікті арттыру; "Денсаулық сақтау" кадрлар даярлау бағыты бойынша денсаулық сақтау саласындағы уәкілетті орган бекіткен талаптарға сәйкес; "Сәулет және құрылыс" кадрлар даярлау бағыттары бойынша оқытылатын пәндер бойынша ғылыми-зерттеу, іздестіру, жобалау және өндірістік ұйымдарда бес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біліктілік арттыруы оқытылатын пәндердің бейініне немесе оқыту әдістемесіне сәйкес өткізіледі.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сұратылған бағытының тиісті бейіні бойынша оқытушылардың және (немесе) Ұлттық біліктілік шеңберінің 8-деңгейіне сәйкес келетін мамандардың ғылыми жетекшілікті жүзеге асыруы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практика базалары туралы мәліметтер, оның ішінде "Педагогикалық ғылымдар" кадрларды даярлау бағыты үшін –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 "Денсаулық сақтау" кадрларын даярлау үшін – азаматтық заңнамаға сәйкес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жетекші шетелдік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"Құқық" кадрларды даярлауды бағыты үшін – азаматтық заңнамаға сәйкес кадрлар даярлау бағыттарына сәйкес әділет және(немесе) ішкі істер органдарымен (полициямен) және(немесе) прокуратурамен және(немесе) сыбайлас жемқорлыққа қарсы қызметімен және(немесе) экономикалық тергеу қызметімен және(немесе) адвокаттар алқасымен және(немесе) нотариаттық палаталармен және(немесе) заң консультанттары палаталарымен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кадрларды даярлау бағыты үшін "Педагогикалық ғылымдар" -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"Денсаулық сақтау" кадрларын даярлау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немесе жетекші шетелдік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"Құқық" кадрларын даярлауды жіберу үшін - кадрлар даярлау бағыттарына сәйкес әділет және(немесе) ішкі істер органдарымен (полициямен) және(немесе) прокуратурамен және(немесе) адвокаттар алқасымен және(немесе) нотариаттық палаталармен және(немесе) заң консультанттары палаталарымен шарттардың болуы.. Сұратылып отырған кадрларды даярлау бағытына сәйкес практика базалары ретінде айқындалған ұйымдармен және стратегиялық әріптестік туралы жасалған шарттардың көшірмелері. Шарт практикадан өту кезінде жарамды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кадрларды даярлау бағыты үшін дуальді оқыту бойынша мектепке дейінгі тәрбие және оқыту және/немесе бастауыш, негізгі орта, жалпы орта, техникалық және кәсіптік, дуалді білім беру ұйымдарымен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және/немесе бастауыш, негізгі орта, жалпы орта, техникалық және кәсіптік , дуалді білім беру ұйымдарымен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"Педагогикалық ғылымдар" кадрлар даярлау бағыты үшін – кемінде 60 %, "Құқық" кадрларын даярлау үшін – кемінде 60%, "Денсаулық сақтау" кадрларын даярлау үшін – кемінде 80 %, оның ішінде кемінде үш ай үздіксіз еңбек қызметімен қамтамасыз етілу – 50 %.</w:t>
            </w:r>
          </w:p>
          <w:p>
            <w:pPr>
              <w:spacing w:after="20"/>
              <w:ind w:left="20"/>
              <w:jc w:val="both"/>
            </w:pPr>
            <w:r>
              <w:rPr>
                <w:rFonts w:ascii="Times New Roman"/>
                <w:b w:val="false"/>
                <w:i w:val="false"/>
                <w:color w:val="000000"/>
                <w:sz w:val="20"/>
              </w:rPr>
              <w:t>
Бұл ретте жұмысқа орналасқан түлектердің саны екінші жоғары білім бағдарламалары бойынша, күндізгі оқу нысаны бойынша, резидентурада немесе магистратурада немесе докторантурада оқуын жалғастырған түлектерді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қосымшаны алу кезінде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мұқтаж білім алушылар санынан басқа қаладан келген білім алушылардың кемінде 70 %-ының тұруы үшін (жатақаналар/хостелдер/қонақ үйлер)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туралы және (немесе) білім беру ұйымының басшысы бекіткен хостелдермен/ қонақ үйлермен шарттардың болуы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соңғы 2 жылда кадрларды даярлаудың тиісті бағыты бойынша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алу кезінде білім беру ұйымдарына, сондай-ақ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білімнің мемлекеттік жалпыға міндетті стандартына сәйкестігі.</w:t>
            </w:r>
          </w:p>
          <w:p>
            <w:pPr>
              <w:spacing w:after="20"/>
              <w:ind w:left="20"/>
              <w:jc w:val="both"/>
            </w:pPr>
            <w:r>
              <w:rPr>
                <w:rFonts w:ascii="Times New Roman"/>
                <w:b w:val="false"/>
                <w:i w:val="false"/>
                <w:color w:val="000000"/>
                <w:sz w:val="20"/>
              </w:rPr>
              <w:t>
Қазақстан Республикасының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беру бағдарламасының № 604 бұйрықпен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бағдарламаларының тізіліміне енгізілген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мемлекеттік жалпыға міндетті білім беру стандартына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 ЖЖОКББҰ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ЖЖООКББҰ мәртебесі бойынша нормаларды қарастыратын ынтымақтастық туралы келісімдердің көшірмелері. Келісім практикадан өту кезінде жарамды болуы тиіс және келісімнің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штаттағы төрт оқытушыда:</w:t>
            </w:r>
          </w:p>
          <w:p>
            <w:pPr>
              <w:spacing w:after="20"/>
              <w:ind w:left="20"/>
              <w:jc w:val="both"/>
            </w:pPr>
            <w:r>
              <w:rPr>
                <w:rFonts w:ascii="Times New Roman"/>
                <w:b w:val="false"/>
                <w:i w:val="false"/>
                <w:color w:val="000000"/>
                <w:sz w:val="20"/>
              </w:rPr>
              <w:t>
-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p>
          <w:p>
            <w:pPr>
              <w:spacing w:after="20"/>
              <w:ind w:left="20"/>
              <w:jc w:val="both"/>
            </w:pPr>
            <w:r>
              <w:rPr>
                <w:rFonts w:ascii="Times New Roman"/>
                <w:b w:val="false"/>
                <w:i w:val="false"/>
                <w:color w:val="000000"/>
                <w:sz w:val="20"/>
              </w:rPr>
              <w:t>
-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 кемінде 70 %; кадрлар даярлау бағыты бойынша оқытушылардың жалпы санынан негізгі жұмыс орны лицензиат болып табылатын "магистр" дәрежесі бар оқытушылардың үлесі – 30 %-дан артық емес;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50 %-дан кем емес; кадрларды даярлау бағыты бойынша оқытушылардың жалпы санынан негізгі жұмыс орны лицензиат болып табылатын "магистр" дәрежесі бар оқытушылардың үлесі – 50 %-дан артық емес; "Денсаулық сақтау" кадрлар даярлау бағыты бойынша: кадрлар даярлау бағыты бойынша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 кемінде 50 %; кадрлар даярлау бағыты бойынша оқытушылардың жалпы санынан негізгі жұмыс орны лицензиат болып табылатын "магистр" дәрежесі бар және/немесе резидентура бітірген, дәрігердің жоғары/бірінші біліктілік санатты және (немесе) клиникалық практикада кемінде 5 жыл тәжірибесі бар оқытушылардың үлесі – 50 %-дан артық емес;</w:t>
            </w:r>
          </w:p>
          <w:p>
            <w:pPr>
              <w:spacing w:after="20"/>
              <w:ind w:left="20"/>
              <w:jc w:val="both"/>
            </w:pPr>
            <w:r>
              <w:rPr>
                <w:rFonts w:ascii="Times New Roman"/>
                <w:b w:val="false"/>
                <w:i w:val="false"/>
                <w:color w:val="000000"/>
                <w:sz w:val="20"/>
              </w:rPr>
              <w:t>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бекіткен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тәртіпке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p>
          <w:p>
            <w:pPr>
              <w:spacing w:after="20"/>
              <w:ind w:left="20"/>
              <w:jc w:val="both"/>
            </w:pPr>
            <w:r>
              <w:rPr>
                <w:rFonts w:ascii="Times New Roman"/>
                <w:b w:val="false"/>
                <w:i w:val="false"/>
                <w:color w:val="000000"/>
                <w:sz w:val="20"/>
              </w:rPr>
              <w:t>
Кодекстің 24 бабына сәйкес санитариялық-эпидемиологиялық қызмет органдарымен берiлген қызметті немесе белгілі бір іс-қимылды жүзеге асырудың басталғандығы немесе тоқтатылғандығы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өрт қауіпсіздігі саласындағы сәйкестікті тексеру нәтижелері туралы актінің/хаттың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 мен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жасалған шарттарға сәйкес қаржыландырылатын ғылыми-зерттеу және тәжірибелік-конструкторлық жұмыстармен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жүргізуге ұйымдармен және кәсіпорындармен жасалған шарттардың көшірмелері. Шарт оқу кезінде әрекет ететін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бағыттың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магистранттарда ғылым докторы немесе ғылым кандидаты немесе философия докторы (PhD) немесе бейіні бойынша доктор ғылыми дәрежесі бар оқытушының немесе подполковниктен төмен емес әскери (арнайы атағы, сыныптық шені) немесе судья немесе отставкадағы судья немесе негізгі жұмыс орны лицензиат болып табылатын, кадрларды даярлау бағыты бойынша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авторы болып табылатын ғылым саласына сәйкес келетін білікті маманның ғылыми жетекшілікті жүзеге асыруы.</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кадрларды даярлау бағыттары үшін тиісті бейіндегі оқытушылардың және (немесе) Ұлттық біліктілік шеңберінің 8-деңгейіне сәйкес келетін, кемінде 3 жыл жұмыс өтілі бар мамандардың білім алушылардың ғылыми-зерттеу жұмысына (жобаларына) басшылықты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практикадан өту үшін отандық ұйымдармен келісілген шарттармен және шетелдік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ұйымдарынан басқа)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көшірмелері. Шарт оқыту кезінде жарамды болуы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Кодекске сәйкес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қаулыға сәйкес бекітілген санитариялық нормалар мен тәртіптерге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4 ғылыми жарияланымның авторы болып табылатын және оқу құралдары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немесе кадрларды даярлаудың сұралып отырған бағыты бойынша кемінде бес жыл клиникалық жұмыс өтілі бар жетекші мамандар, оқытушылар қатарынан тәлімгерлер ретінде даярлауды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21 желтоқсандағы № ҚР ДСМ-304/2020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(Нормативтік құқықтық актілерді мемлекеттік тіркеу тізілімінде № 21848 болып тіркелген) бұйрығына сәйкес кадрларды даярлаудың сұратылып отырған бағыты бойынша резидентура базаларымен келісімшарттардың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100 %-ын қамтамасыз ететін баспа және электрондық басылымдар форматында, оның ішінде оқыту тілдері бойынша басып шығарылған.</w:t>
            </w:r>
          </w:p>
          <w:p>
            <w:pPr>
              <w:spacing w:after="20"/>
              <w:ind w:left="20"/>
              <w:jc w:val="both"/>
            </w:pPr>
            <w:r>
              <w:rPr>
                <w:rFonts w:ascii="Times New Roman"/>
                <w:b w:val="false"/>
                <w:i w:val="false"/>
                <w:color w:val="000000"/>
                <w:sz w:val="20"/>
              </w:rPr>
              <w:t>
Дәлелді медицина бойынша халықаралық дерекқорларға қолданыстағы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медициналық қызмет көрсетумен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тамақтануына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тәртіптерге санитариялық нормаларға және № 439 бұйрықпен бекітілген өрт қауіпсіздігі талаптарына сәйкес келетін меншікті не шаруашылық жүргізу немесе жедел басқару немесе сенімгерлік басқару құқығында оқу үй-жайлары және алаңы бар ғимараттар (оқу корпустары);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қайта ұйымдастыруға байланысты лицензия алған немесе лицензияны қайта ресімдеген кезде алаңды есептеу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дайындалған оқулықтар мен оқу құралдарын көрсете отырып, тиісті кадрлар даярлау бағыты бойынша ғылыми басшылықты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эксперименттік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 604 бұйрықпен бекітілген Жоғары оқу орнынан кейінгі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Кодекске сәйкес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 бұйрықпен бекітілген және (немесе) Кодекске сәйкес бекітілген Жоғары оқу орнынан кейінгі білім берудің мемлекеттік жалпыға міндетті стандартына сәйкес оқудың толық кезеңіне әзірленген кадрларды даярлаудың сұралатын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оқу жоспарының № 604 бұйрықпен бекітілген және (немесе) Кодекске сәйкес бекітілген мемлекеттік жалпыға міндетті білім беру стандартына сәйкестігі туралы біліктілік талабы мәлімделген шарттар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 немесе "ғылым докторы" немесе "философия докторы (РhD)" немесе "бейіні бойынша доктор" ғылыми дәрежесінің немесе "философия докторы (РhD)" немесе "бейіні бойынша доктор" немесе "философия докторы (РhD)" немесе "бейіні бойынша доктор" және/немесе "қауымдастырылған профессор" (доцент), немесе "профессор" ғылыми атағының оқытылатын пәндер бейініне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штаттық оқытушыда:</w:t>
            </w:r>
          </w:p>
          <w:p>
            <w:pPr>
              <w:spacing w:after="20"/>
              <w:ind w:left="20"/>
              <w:jc w:val="both"/>
            </w:pPr>
            <w:r>
              <w:rPr>
                <w:rFonts w:ascii="Times New Roman"/>
                <w:b w:val="false"/>
                <w:i w:val="false"/>
                <w:color w:val="000000"/>
                <w:sz w:val="20"/>
              </w:rPr>
              <w:t>
- кадрларды даярлау бағыты бойынша ғылым кандидаты және (немесе) ғылым докторы және(немесе) философия докторы (PhD) және (немесе) бейіні бойынша доктор ғылыми дәрежесінің және(немесе) философия докторы(PhD) академиялық дәрежесінің болуы;</w:t>
            </w:r>
          </w:p>
          <w:p>
            <w:pPr>
              <w:spacing w:after="20"/>
              <w:ind w:left="20"/>
              <w:jc w:val="both"/>
            </w:pPr>
            <w:r>
              <w:rPr>
                <w:rFonts w:ascii="Times New Roman"/>
                <w:b w:val="false"/>
                <w:i w:val="false"/>
                <w:color w:val="000000"/>
                <w:sz w:val="20"/>
              </w:rPr>
              <w:t>
- соңғы 5 жылда рецензияланатын халықаралық ғылыми журналдарда кемінде 3 (үш) мақаланың және/немесе шолудың болуы:</w:t>
            </w:r>
          </w:p>
          <w:p>
            <w:pPr>
              <w:spacing w:after="20"/>
              <w:ind w:left="20"/>
              <w:jc w:val="both"/>
            </w:pPr>
            <w:r>
              <w:rPr>
                <w:rFonts w:ascii="Times New Roman"/>
                <w:b w:val="false"/>
                <w:i w:val="false"/>
                <w:color w:val="000000"/>
                <w:sz w:val="20"/>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2) кадрларды даярлаудың қалған бағыттары үшін Clarivate компаниясының Journal Citation Reports деректері бойынша алғашқы үш квартильге кіретін немесе білім беру бағдарламасына сәйкес келетін ғылыми салалардың бірі бойынша Scopus дерекқорында CiteScore бойынша кемінде 35 (отыз бес) процентиль көрсеткіші бар басылымдарда;</w:t>
            </w:r>
          </w:p>
          <w:p>
            <w:pPr>
              <w:spacing w:after="20"/>
              <w:ind w:left="20"/>
              <w:jc w:val="both"/>
            </w:pPr>
            <w:r>
              <w:rPr>
                <w:rFonts w:ascii="Times New Roman"/>
                <w:b w:val="false"/>
                <w:i w:val="false"/>
                <w:color w:val="000000"/>
                <w:sz w:val="20"/>
              </w:rPr>
              <w:t>
Көрсетілген 5 штаттық оқытушының кемінде 2-уінде:</w:t>
            </w:r>
          </w:p>
          <w:p>
            <w:pPr>
              <w:spacing w:after="20"/>
              <w:ind w:left="20"/>
              <w:jc w:val="both"/>
            </w:pPr>
            <w:r>
              <w:rPr>
                <w:rFonts w:ascii="Times New Roman"/>
                <w:b w:val="false"/>
                <w:i w:val="false"/>
                <w:color w:val="000000"/>
                <w:sz w:val="20"/>
              </w:rPr>
              <w:t>
- ғылыми дәрежесі бар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дәрежесі) бар даярланған тұлғаларының болуы;</w:t>
            </w:r>
          </w:p>
          <w:p>
            <w:pPr>
              <w:spacing w:after="20"/>
              <w:ind w:left="20"/>
              <w:jc w:val="both"/>
            </w:pPr>
            <w:r>
              <w:rPr>
                <w:rFonts w:ascii="Times New Roman"/>
                <w:b w:val="false"/>
                <w:i w:val="false"/>
                <w:color w:val="000000"/>
                <w:sz w:val="20"/>
              </w:rPr>
              <w:t>
-кадрларды даярлау бағытына байланысты жоғарыда көрсетілген 1) және 2) тармақшалардың талаптарын қанағаттандыратын басылымда мақаланың және/немесе шолудың соңғы 5 жылдағы корреспондент-авторлары немесе бірінші (негізгі) авторлары болуы;</w:t>
            </w:r>
          </w:p>
          <w:p>
            <w:pPr>
              <w:spacing w:after="20"/>
              <w:ind w:left="20"/>
              <w:jc w:val="both"/>
            </w:pPr>
            <w:r>
              <w:rPr>
                <w:rFonts w:ascii="Times New Roman"/>
                <w:b w:val="false"/>
                <w:i w:val="false"/>
                <w:color w:val="000000"/>
                <w:sz w:val="20"/>
              </w:rPr>
              <w:t>
- және (немесе) соңғы 3 жылда мемлекеттік бюджеттен табысты орындалған ғылыми жобалар мен бағдарламалардың басшылары және/немесе орындаушылары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w:t>
            </w:r>
          </w:p>
          <w:p>
            <w:pPr>
              <w:spacing w:after="20"/>
              <w:ind w:left="20"/>
              <w:jc w:val="both"/>
            </w:pPr>
            <w:r>
              <w:rPr>
                <w:rFonts w:ascii="Times New Roman"/>
                <w:b w:val="false"/>
                <w:i w:val="false"/>
                <w:color w:val="000000"/>
                <w:sz w:val="20"/>
              </w:rPr>
              <w:t>
Қазақстан Республикасы ұлттық қауіпсіздік органдарына,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білім алушыларды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материалдық активтер, № 71 қаулымен бекітілген санитариялық тәртіптерге санитариялық нормаларға және № 439 бұйрықпен бекітілген өрт қауіпсіздігі талаптарына сәйкес келетін оқу үй-жайлары және алаңы бар ғимараттар (оқу корпустары): мемлекеттік органдардың немесе квазимемлекеттік ұйымдардың қатысуымен білім беру ұйымдары үшін меншікті не шаруашылық жүргізу немесе жедел басқару немесе сенімгерлік басқару құқығында тиесілі кемінде 5 %; білім беру ұйымдарының жайларында және (немесе) іргелес аумақтарда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кең жолақты интернеттің қолжетімділігі, № 79 бұйрықпен бекітілген бағдарламалық-аппараттық кешенге және қолданбалы қамтамасыз етуге қойылатын ең төменгі талаптарға сәйкес келетін кітапханамен және компьютерлік кабинеттермен, компьютерлермен, материалдық-техникалық және оқу-зертханалық базамен, кадрлар даярлау бағытының білім беру бағдарламасына сәйкес білім беру бағдарламаларын іске асыру үшін қажетті жабдықтармен жабдықталуы.</w:t>
            </w:r>
          </w:p>
          <w:p>
            <w:pPr>
              <w:spacing w:after="20"/>
              <w:ind w:left="20"/>
              <w:jc w:val="both"/>
            </w:pPr>
            <w:r>
              <w:rPr>
                <w:rFonts w:ascii="Times New Roman"/>
                <w:b w:val="false"/>
                <w:i w:val="false"/>
                <w:color w:val="000000"/>
                <w:sz w:val="20"/>
              </w:rPr>
              <w:t>
№ 570 бұйрықпен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жасасқан шарттары негізінде қаржыландырылатын ғылыми-зерттеу және тәжірибелік-конструкторлық жұмыстармен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 Техникалық ерекшелік және күнтізбелік жұмыс жоспары қосымшалары бар шарт оқу кезінде әрекет етуі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w:t>
            </w:r>
          </w:p>
          <w:p>
            <w:pPr>
              <w:spacing w:after="20"/>
              <w:ind w:left="20"/>
              <w:jc w:val="both"/>
            </w:pPr>
            <w:r>
              <w:rPr>
                <w:rFonts w:ascii="Times New Roman"/>
                <w:b w:val="false"/>
                <w:i w:val="false"/>
                <w:color w:val="000000"/>
                <w:sz w:val="20"/>
              </w:rPr>
              <w:t>
- қалған даярлау бағыттары бойыншпа 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Social Science Citation Index немесе Web of Science Core Collection (Вэб оф Сайнс Кор)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аккредиттелген шетелдік және (немесе) ғылыми ұйымдармен ынтымақтастық туралы және кадрларды даярлаудың тиісті бағыты бойынша әріптес ЖЖОКБҰ мәртебесі, шетелдік консультанттарды тарту және бірлескен ғылыми жобаларды іске асыру бойынша нормаларды көздейтін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ЖЖООКББҰ мәртебесі бойынша нормаларды көздейтін аккредиттелген шетелдік жоғары оқу орындарымен ғылыми алмасу туралы шарттардың көшірмелері. Келісім оқу кезінде қолданыста болуға тиіс және келісімнің мерзімін ұзарту туралы тармақты қамтуы мүмкін.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және шетелдік ғылыми тағылымдамадан өтуге арналған азаматтық заңнамаға сәйкес шарттармен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 Шарт оқу кезінде жарамды болуға тиіс және шарттың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осындай зертханалармен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 595 бұйрыққа сәйкес бөтен материалды анықтау жүйесінде тексерілген дипломдық жұмыстарды (жобаларды)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both"/>
      </w:pPr>
      <w:r>
        <w:rPr>
          <w:rFonts w:ascii="Times New Roman"/>
          <w:b w:val="false"/>
          <w:i w:val="false"/>
          <w:color w:val="000000"/>
          <w:sz w:val="28"/>
        </w:rPr>
        <w:t>
      Педагог және оқытушы кадрлармен жасақталуы туралы мәліметтер</w:t>
      </w:r>
    </w:p>
    <w:bookmarkEnd w:id="1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атауы,оқу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w:t>
            </w:r>
          </w:p>
          <w:p>
            <w:pPr>
              <w:spacing w:after="20"/>
              <w:ind w:left="20"/>
              <w:jc w:val="both"/>
            </w:pPr>
            <w:r>
              <w:rPr>
                <w:rFonts w:ascii="Times New Roman"/>
                <w:b w:val="false"/>
                <w:i w:val="false"/>
                <w:color w:val="000000"/>
                <w:sz w:val="20"/>
              </w:rPr>
              <w:t>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1"/>
    <w:p>
      <w:pPr>
        <w:spacing w:after="0"/>
        <w:ind w:left="0"/>
        <w:jc w:val="both"/>
      </w:pPr>
      <w:r>
        <w:rPr>
          <w:rFonts w:ascii="Times New Roman"/>
          <w:b w:val="false"/>
          <w:i w:val="false"/>
          <w:color w:val="000000"/>
          <w:sz w:val="28"/>
        </w:rPr>
        <w:t>
      Оқу. көркем және ғылыми әдебиеттер қорының болуы туралы мәліметтер</w:t>
      </w:r>
    </w:p>
    <w:bookmarkEnd w:id="1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both"/>
      </w:pPr>
      <w:r>
        <w:rPr>
          <w:rFonts w:ascii="Times New Roman"/>
          <w:b w:val="false"/>
          <w:i w:val="false"/>
          <w:color w:val="000000"/>
          <w:sz w:val="28"/>
        </w:rPr>
        <w:t>
      Медициналық қызмет көрсетудің болуы, оның ішінде медициналық пункттің болуы және медициналық қызметке берілген лицензия туралы мәліметтер</w:t>
      </w:r>
    </w:p>
    <w:bookmarkEnd w:id="1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 Біліктілік талаптардағы денсаулық сақтау ұйымдарымен медициналық қызмет көрсету туралы шарттың болуы тек шағын жинақты мектептерге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3"/>
    <w:p>
      <w:pPr>
        <w:spacing w:after="0"/>
        <w:ind w:left="0"/>
        <w:jc w:val="both"/>
      </w:pPr>
      <w:r>
        <w:rPr>
          <w:rFonts w:ascii="Times New Roman"/>
          <w:b w:val="false"/>
          <w:i w:val="false"/>
          <w:color w:val="000000"/>
          <w:sz w:val="28"/>
        </w:rPr>
        <w:t>
      Санитариялық қағидалар мен нормаларға сәйкес тамақтандыру объектісінің болуы туралы мәліметтер</w:t>
      </w:r>
    </w:p>
    <w:bookmarkEnd w:id="13"/>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both"/>
      </w:pPr>
      <w:r>
        <w:rPr>
          <w:rFonts w:ascii="Times New Roman"/>
          <w:b w:val="false"/>
          <w:i w:val="false"/>
          <w:color w:val="000000"/>
          <w:sz w:val="28"/>
        </w:rPr>
        <w:t>
      Пайдалы оқу алаңы, материалдық-техникалық базасының болуы туралы мәліметтер</w:t>
      </w:r>
    </w:p>
    <w:bookmarkEnd w:id="14"/>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айқындалады.</w:t>
      </w:r>
    </w:p>
    <w:p>
      <w:pPr>
        <w:spacing w:after="0"/>
        <w:ind w:left="0"/>
        <w:jc w:val="both"/>
      </w:pPr>
      <w:r>
        <w:rPr>
          <w:rFonts w:ascii="Times New Roman"/>
          <w:b w:val="false"/>
          <w:i w:val="false"/>
          <w:color w:val="000000"/>
          <w:sz w:val="28"/>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5"/>
    <w:p>
      <w:pPr>
        <w:spacing w:after="0"/>
        <w:ind w:left="0"/>
        <w:jc w:val="both"/>
      </w:pPr>
      <w:r>
        <w:rPr>
          <w:rFonts w:ascii="Times New Roman"/>
          <w:b w:val="false"/>
          <w:i w:val="false"/>
          <w:color w:val="000000"/>
          <w:sz w:val="28"/>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медициналық бағыты бойынша кадрлар даярлау үшін.</w:t>
            </w:r>
          </w:p>
          <w:p>
            <w:pPr>
              <w:spacing w:after="20"/>
              <w:ind w:left="20"/>
              <w:jc w:val="both"/>
            </w:pPr>
            <w:r>
              <w:rPr>
                <w:rFonts w:ascii="Times New Roman"/>
                <w:b w:val="false"/>
                <w:i w:val="false"/>
                <w:color w:val="000000"/>
                <w:sz w:val="20"/>
              </w:rPr>
              <w:t>
"Сәулет және құрылыс" кадрларды даярлау бағыты бойынша кадрлар даярлау үшін:</w:t>
            </w:r>
          </w:p>
          <w:p>
            <w:pPr>
              <w:spacing w:after="20"/>
              <w:ind w:left="20"/>
              <w:jc w:val="both"/>
            </w:pPr>
            <w:r>
              <w:rPr>
                <w:rFonts w:ascii="Times New Roman"/>
                <w:b w:val="false"/>
                <w:i w:val="false"/>
                <w:color w:val="000000"/>
                <w:sz w:val="20"/>
              </w:rPr>
              <w:t>
мамандандырылған бағдарламалық кешендер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дерекқорлары бар білім беруді басқарудың ақпараттық жүйесі, edu. kz аймағында үшінші деңгейдегі домендік атау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6"/>
    <w:p>
      <w:pPr>
        <w:spacing w:after="0"/>
        <w:ind w:left="0"/>
        <w:jc w:val="both"/>
      </w:pPr>
      <w:r>
        <w:rPr>
          <w:rFonts w:ascii="Times New Roman"/>
          <w:b w:val="false"/>
          <w:i w:val="false"/>
          <w:color w:val="000000"/>
          <w:sz w:val="28"/>
        </w:rPr>
        <w:t>
      Тиісті оқу жылына арналған бір білім алушыға кететін ең төменгі шығынға сәйкестік туралы мәліметтер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7"/>
    <w:p>
      <w:pPr>
        <w:spacing w:after="0"/>
        <w:ind w:left="0"/>
        <w:jc w:val="both"/>
      </w:pPr>
      <w:r>
        <w:rPr>
          <w:rFonts w:ascii="Times New Roman"/>
          <w:b w:val="false"/>
          <w:i w:val="false"/>
          <w:color w:val="000000"/>
          <w:sz w:val="28"/>
        </w:rPr>
        <w:t>
      Цифрлық тасымалдағыштардағы оқу және ғылыми әдебиеттердің болуы туралы мәліметтер</w:t>
      </w:r>
    </w:p>
    <w:bookmarkEnd w:id="1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8"/>
    <w:p>
      <w:pPr>
        <w:spacing w:after="0"/>
        <w:ind w:left="0"/>
        <w:jc w:val="both"/>
      </w:pPr>
      <w:r>
        <w:rPr>
          <w:rFonts w:ascii="Times New Roman"/>
          <w:b w:val="false"/>
          <w:i w:val="false"/>
          <w:color w:val="000000"/>
          <w:sz w:val="28"/>
        </w:rPr>
        <w:t>
      Оқытылатын пәннің бейініне сәйкес соңғы бес жылда кадрлардың біліктілік арттырудан және қайта даярлаудан өткені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9"/>
    <w:p>
      <w:pPr>
        <w:spacing w:after="0"/>
        <w:ind w:left="0"/>
        <w:jc w:val="both"/>
      </w:pPr>
      <w:r>
        <w:rPr>
          <w:rFonts w:ascii="Times New Roman"/>
          <w:b w:val="false"/>
          <w:i w:val="false"/>
          <w:color w:val="000000"/>
          <w:sz w:val="28"/>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0"/>
    <w:p>
      <w:pPr>
        <w:spacing w:after="0"/>
        <w:ind w:left="0"/>
        <w:jc w:val="both"/>
      </w:pPr>
      <w:r>
        <w:rPr>
          <w:rFonts w:ascii="Times New Roman"/>
          <w:b w:val="false"/>
          <w:i w:val="false"/>
          <w:color w:val="000000"/>
          <w:sz w:val="28"/>
        </w:rPr>
        <w:t>
      Мамандандырылған ғылыми-техникалық, ғылыми-әдістемелік, клиникалық, эксперименталдық базалардың болуы туралы мәліметтер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