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f2e7" w14:textId="467f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 Қазақстан Республикасы Инвестициялар және даму министрінің 2018 жылғы 24 мамырдағы № 384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16 маусымдағы № 305 бұйрығы. Қазақстан Республикасының Әділет министрлігінде 2021 жылғы 22 маусымда № 23141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 Қазақстан Республикасы Инвестициялар және даму министрінің 2018 жылғы 24 мамырдағы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тізілімінде № 17022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"Пайдалы қазбаның атауы" деген жол алып тасталсын;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"Пайдалы қазбаның атауы" деген жол алып тасталсын;</w:t>
      </w:r>
    </w:p>
    <w:bookmarkEnd w:id="5"/>
    <w:bookmarkStart w:name="z7"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Индустрия және инфрақұрылымдық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305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 xml:space="preserve">иесінің тегі, аты, әкесінің аты </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(жер қойнауын</w:t>
            </w:r>
            <w:r>
              <w:br/>
            </w:r>
            <w:r>
              <w:rPr>
                <w:rFonts w:ascii="Times New Roman"/>
                <w:b w:val="false"/>
                <w:i w:val="false"/>
                <w:color w:val="000000"/>
                <w:sz w:val="20"/>
              </w:rPr>
              <w:t>пайдалану құқығындағы</w:t>
            </w:r>
            <w:r>
              <w:br/>
            </w:r>
            <w:r>
              <w:rPr>
                <w:rFonts w:ascii="Times New Roman"/>
                <w:b w:val="false"/>
                <w:i w:val="false"/>
                <w:color w:val="000000"/>
                <w:sz w:val="20"/>
              </w:rPr>
              <w:t>үлестің) ауысуына байланысты</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лицензияны қайта</w:t>
            </w:r>
            <w:r>
              <w:br/>
            </w:r>
            <w:r>
              <w:rPr>
                <w:rFonts w:ascii="Times New Roman"/>
                <w:b w:val="false"/>
                <w:i w:val="false"/>
                <w:color w:val="000000"/>
                <w:sz w:val="20"/>
              </w:rPr>
              <w:t>ресімдеген жағдайда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иеленушінің және иеленушінің</w:t>
            </w:r>
            <w:r>
              <w:br/>
            </w:r>
            <w:r>
              <w:rPr>
                <w:rFonts w:ascii="Times New Roman"/>
                <w:b w:val="false"/>
                <w:i w:val="false"/>
                <w:color w:val="000000"/>
                <w:sz w:val="20"/>
              </w:rPr>
              <w:t>деректері көрсетіледі)</w:t>
            </w:r>
          </w:p>
        </w:tc>
      </w:tr>
    </w:tbl>
    <w:bookmarkStart w:name="z15" w:id="12"/>
    <w:p>
      <w:pPr>
        <w:spacing w:after="0"/>
        <w:ind w:left="0"/>
        <w:jc w:val="left"/>
      </w:pPr>
      <w:r>
        <w:rPr>
          <w:rFonts w:ascii="Times New Roman"/>
          <w:b/>
          <w:i w:val="false"/>
          <w:color w:val="000000"/>
        </w:rPr>
        <w:t xml:space="preserve"> Жер қойнауын пайдалануға арналған лицензияны қайта рәсімдеуге өтініш</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w:t>
            </w:r>
          </w:p>
        </w:tc>
      </w:tr>
    </w:tbl>
    <w:p>
      <w:pPr>
        <w:spacing w:after="0"/>
        <w:ind w:left="0"/>
        <w:jc w:val="both"/>
      </w:pPr>
      <w:r>
        <w:rPr>
          <w:rFonts w:ascii="Times New Roman"/>
          <w:b w:val="false"/>
          <w:i w:val="false"/>
          <w:color w:val="000000"/>
          <w:sz w:val="28"/>
        </w:rPr>
        <w:t>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440"/>
        <w:gridCol w:w="274"/>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иесі туралы мәліметтер</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тегі, аты және әкесінің аты (бар болған жағдайда), азаматтығы, тұрғылықты жері, жеке басын куәландыратын құжаттар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заңды тұлға ретінде мемлекеттік тіркеу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орган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түрі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немесе себептері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сатып алушы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тегі, аты және әкесінің аты (бар болған жағдайда), азаматтығы, тұрғылықты жері, жеке басын куәландыратын құжаттар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заңды тұлға ретінде мемлекеттік тіркеу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бағалы қағаздардың ұйымдастырылған нарығында айналыстаға акциялар, мемлекеттер, халықаралық ұйымдар және сатып алушыны тікелей немесе жанама бақылайтын жеке тұлғалар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 құқығының (жер қойнауын пайдалану құқығындағы үлестің) ауысуы үшін негіз</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өтуіне рұқсаттың күні мен нөмірі (талап болған жағдайда)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(бар болған жағдайда) (жер қойнауын пайдалану құқығы (жер қойнауын пайдалану құқығындағы үлес) иесінің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(бар болған жағдайда) (жер қойнауын пайдалану құқығы (жер қойнауын пайдалану құқығындағы үлес) сатып алушы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4,5 және 6-жолдар кен іздеушілікке арналған лицензияларынан басқа, жер қойнауын пайдалану құқығын (жер қойнауын пайдалану құқығындағы үлесті) ауыстыруға (иеліктен шығаруға) байланысты лицензияны қайта ресімдеген жағдайда толтырылады</w:t>
      </w:r>
    </w:p>
    <w:p>
      <w:pPr>
        <w:spacing w:after="0"/>
        <w:ind w:left="0"/>
        <w:jc w:val="both"/>
      </w:pPr>
      <w:r>
        <w:rPr>
          <w:rFonts w:ascii="Times New Roman"/>
          <w:b w:val="false"/>
          <w:i w:val="false"/>
          <w:color w:val="000000"/>
          <w:sz w:val="28"/>
        </w:rPr>
        <w:t>
      ** Құжаттардың түпнұсқалары не олардың нотариат куәландырған көшірмелері қоса беріледі</w:t>
      </w:r>
    </w:p>
    <w:p>
      <w:pPr>
        <w:spacing w:after="0"/>
        <w:ind w:left="0"/>
        <w:jc w:val="both"/>
      </w:pPr>
      <w:r>
        <w:rPr>
          <w:rFonts w:ascii="Times New Roman"/>
          <w:b w:val="false"/>
          <w:i w:val="false"/>
          <w:color w:val="000000"/>
          <w:sz w:val="28"/>
        </w:rPr>
        <w:t>
      ***Жер қойнауын пайдалану құқығы (жер қойнауын пайдалану құқығындағы үлес) мұрагерлік немесе өндіріп алуды кепіл затына айналдыру тәртібімен ауысқан жағдайда өтінішке жер қойнауын пайдалану құқығын (жер қойнауын пайдалану құқығындағы үлес) сатып алушы ғана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