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eaeb" w14:textId="950e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құралының типін мақұлдауларды, шасси типін мақұлдауларды бекіту және тіркеу жөніндегі қағидаларды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14 мамырдағы № 336-НҚ бұйрығы. Қазақстан Республикасының Әділет министрлігінде 2021 жылғы 18 мамырда № 22753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2020 жылғы 30 желтоқсандағы Қазақстан Республикасы Заңының 7-бабы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құралының типін мақұлдауларды, шасси типін мақұлдауларды бекіту және тіркеу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"Көлік құралының типін мақұлдауларды, шасси типін мақұлдауларды бекіту және тіркеу жөніндегі қағидаларды және Көлік құралының типін мақұлдауларды, шасси типін мақұлдауларды ресімдеудің дұрыстығын және негізділігін тексеру жөніндегі қағидаларды бекіту туралы" Қазақстан Республикасы Инвестициялар және даму министрінің міндетін атқарушы 2015 жылғы 24 ақпандағы № 170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11062 тіркелген, "Әділет" ақпараттық-құқықтық жүйесінде 2015 жылғы 9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Қазақстан Республикасының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2021 жылдың 1 шілдеден бастап күшіне енеді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14 мамырдағы</w:t>
            </w:r>
            <w:r>
              <w:br/>
            </w:r>
            <w:r>
              <w:rPr>
                <w:rFonts w:ascii="Times New Roman"/>
                <w:b w:val="false"/>
                <w:i w:val="false"/>
                <w:color w:val="000000"/>
                <w:sz w:val="20"/>
              </w:rPr>
              <w:t>№ 336-НҚ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Көлік құралының типін мақұлдауларды, шасси типін мақұлдауларды бекіту және тіркеу жөніндегі қағидалар</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көлік құралының типін мақұлдауларды, шасси типін мақұлдауларды бекіту және тіркеу жөніндегі қағидалар (бұдан әрі – қағидалар) "Техникалық реттеу туралы" 2020 жылғы 30 желтоқсандағы Қазақстан Республикасы Заңының 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көлік құралының типін мақұлдауларды, шасси типін мақұлдауларды бекіту және тіркеу тәртібін анықтайды.</w:t>
      </w:r>
    </w:p>
    <w:bookmarkEnd w:id="10"/>
    <w:bookmarkStart w:name="z13"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дайындаушы – Қазақстан Республикасының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p>
      <w:pPr>
        <w:spacing w:after="0"/>
        <w:ind w:left="0"/>
        <w:jc w:val="both"/>
      </w:pPr>
      <w:r>
        <w:rPr>
          <w:rFonts w:ascii="Times New Roman"/>
          <w:b w:val="false"/>
          <w:i w:val="false"/>
          <w:color w:val="000000"/>
          <w:sz w:val="28"/>
        </w:rPr>
        <w:t>
      2) көлік құралының типін мақұлдау – айналымға енгізілген көлік құралдарының бір типке жатқызылған Кеден одағының "Доңғалақты көлік құралдарының қауіпсіздігі туралы" Техникалық регламентін қабылдау туралы" 2011 жылғы 9 желтоқсандағы № 877 Еуразиялық экономикалық комиссияның Шешімімен бекітілген Кеден одағының "Доңғалақты көлік құралдарының қауіпсіздігі туралы" Техникалық регламентінде КО ТР 018/2011 (бұдан әрі – КО ТР 018/2011) талаптарына сәйкестігін куәландыратын құжат;</w:t>
      </w:r>
    </w:p>
    <w:p>
      <w:pPr>
        <w:spacing w:after="0"/>
        <w:ind w:left="0"/>
        <w:jc w:val="both"/>
      </w:pPr>
      <w:r>
        <w:rPr>
          <w:rFonts w:ascii="Times New Roman"/>
          <w:b w:val="false"/>
          <w:i w:val="false"/>
          <w:color w:val="000000"/>
          <w:sz w:val="28"/>
        </w:rPr>
        <w:t>
      3)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p>
      <w:pPr>
        <w:spacing w:after="0"/>
        <w:ind w:left="0"/>
        <w:jc w:val="both"/>
      </w:pPr>
      <w:r>
        <w:rPr>
          <w:rFonts w:ascii="Times New Roman"/>
          <w:b w:val="false"/>
          <w:i w:val="false"/>
          <w:color w:val="000000"/>
          <w:sz w:val="28"/>
        </w:rPr>
        <w:t>
      4)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техникалық реттеудің ақпараттық жүйесі (бұдан әрі - ақпараттық жүйе)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p>
      <w:pPr>
        <w:spacing w:after="0"/>
        <w:ind w:left="0"/>
        <w:jc w:val="both"/>
      </w:pPr>
      <w:r>
        <w:rPr>
          <w:rFonts w:ascii="Times New Roman"/>
          <w:b w:val="false"/>
          <w:i w:val="false"/>
          <w:color w:val="000000"/>
          <w:sz w:val="28"/>
        </w:rPr>
        <w:t>
      6) техникалық хатшылық – көлік құралының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p>
      <w:pPr>
        <w:spacing w:after="0"/>
        <w:ind w:left="0"/>
        <w:jc w:val="both"/>
      </w:pPr>
      <w:r>
        <w:rPr>
          <w:rFonts w:ascii="Times New Roman"/>
          <w:b w:val="false"/>
          <w:i w:val="false"/>
          <w:color w:val="000000"/>
          <w:sz w:val="28"/>
        </w:rPr>
        <w:t>
      7) шасси типін мақұлдау – айналымға енгізілген шассидің 018/2011 КС ТР талаптарына бір түрі ретінде жіктелген сәйкестігін куәландыратын құжат.</w:t>
      </w:r>
    </w:p>
    <w:bookmarkStart w:name="z14" w:id="12"/>
    <w:p>
      <w:pPr>
        <w:spacing w:after="0"/>
        <w:ind w:left="0"/>
        <w:jc w:val="left"/>
      </w:pPr>
      <w:r>
        <w:rPr>
          <w:rFonts w:ascii="Times New Roman"/>
          <w:b/>
          <w:i w:val="false"/>
          <w:color w:val="000000"/>
        </w:rPr>
        <w:t xml:space="preserve"> 2 тарау. Көлік құралының типін мақұлдауларды, шасси типін мақұлдауларды бекіту және тіркеу тәртібі</w:t>
      </w:r>
    </w:p>
    <w:bookmarkEnd w:id="12"/>
    <w:bookmarkStart w:name="z15" w:id="13"/>
    <w:p>
      <w:pPr>
        <w:spacing w:after="0"/>
        <w:ind w:left="0"/>
        <w:jc w:val="both"/>
      </w:pPr>
      <w:r>
        <w:rPr>
          <w:rFonts w:ascii="Times New Roman"/>
          <w:b w:val="false"/>
          <w:i w:val="false"/>
          <w:color w:val="000000"/>
          <w:sz w:val="28"/>
        </w:rPr>
        <w:t>
      3. Техникалық хатшылық көлік құралының типін мақұлдауларды, шасси типін мақұлдауларды ресімдеудің дұрыстығы мен негізділігін тексерудің оң нәтижесі кезінде көлік құралының типін мақұлдауларды, шасси типін мақұлдауларды ақпараттық жүйеде бекіту үшін уәкілетті органға ұсынады.</w:t>
      </w:r>
    </w:p>
    <w:bookmarkEnd w:id="13"/>
    <w:bookmarkStart w:name="z16" w:id="14"/>
    <w:p>
      <w:pPr>
        <w:spacing w:after="0"/>
        <w:ind w:left="0"/>
        <w:jc w:val="both"/>
      </w:pPr>
      <w:r>
        <w:rPr>
          <w:rFonts w:ascii="Times New Roman"/>
          <w:b w:val="false"/>
          <w:i w:val="false"/>
          <w:color w:val="000000"/>
          <w:sz w:val="28"/>
        </w:rPr>
        <w:t>
      4. Көлік құралының типін мақұлдауларды, шасси типін мақұлдауларды бекітуді және тіркеуді уәкілетті орган ақпараттық жүйеде олардың уәкілетті органға келіп түскен күнінен бастап есептелетін күнтізбелік он күн ішінде жүзеге асырады.</w:t>
      </w:r>
    </w:p>
    <w:bookmarkEnd w:id="14"/>
    <w:bookmarkStart w:name="z17" w:id="15"/>
    <w:p>
      <w:pPr>
        <w:spacing w:after="0"/>
        <w:ind w:left="0"/>
        <w:jc w:val="both"/>
      </w:pPr>
      <w:r>
        <w:rPr>
          <w:rFonts w:ascii="Times New Roman"/>
          <w:b w:val="false"/>
          <w:i w:val="false"/>
          <w:color w:val="000000"/>
          <w:sz w:val="28"/>
        </w:rPr>
        <w:t>
      5. Көлік құралының типін мақұлдауды, шасси типін мақұлдауды уәкілетті орган мемлекеттік техникалық реттеу жүйесінің деректер тізілімінде тіркейді.</w:t>
      </w:r>
    </w:p>
    <w:bookmarkEnd w:id="15"/>
    <w:bookmarkStart w:name="z18" w:id="16"/>
    <w:p>
      <w:pPr>
        <w:spacing w:after="0"/>
        <w:ind w:left="0"/>
        <w:jc w:val="both"/>
      </w:pPr>
      <w:r>
        <w:rPr>
          <w:rFonts w:ascii="Times New Roman"/>
          <w:b w:val="false"/>
          <w:i w:val="false"/>
          <w:color w:val="000000"/>
          <w:sz w:val="28"/>
        </w:rPr>
        <w:t>
      6. Көлік құралының типін мақұлдау, шасси типін мақұлдау бекітілгеннен кейін өтінім берушіге және (немесе) дайындаушыға ақпараттық жүйеде қол жетімді болады.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