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ba10" w14:textId="9e4b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6 мамырдағы № 434 бұйрығы. Қазақстан Республикасының Әділет министрлігінде 2021 жылғы 12 мамырда № 22739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24-бабы </w:t>
      </w:r>
      <w:r>
        <w:rPr>
          <w:rFonts w:ascii="Times New Roman"/>
          <w:b w:val="false"/>
          <w:i w:val="false"/>
          <w:color w:val="000000"/>
          <w:sz w:val="28"/>
        </w:rPr>
        <w:t>16-тармақшасына</w:t>
      </w:r>
      <w:r>
        <w:rPr>
          <w:rFonts w:ascii="Times New Roman"/>
          <w:b w:val="false"/>
          <w:i w:val="false"/>
          <w:color w:val="000000"/>
          <w:sz w:val="28"/>
        </w:rPr>
        <w:t xml:space="preserve">, 26-бабының </w:t>
      </w:r>
      <w:r>
        <w:rPr>
          <w:rFonts w:ascii="Times New Roman"/>
          <w:b w:val="false"/>
          <w:i w:val="false"/>
          <w:color w:val="000000"/>
          <w:sz w:val="28"/>
        </w:rPr>
        <w:t>10-тармағына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4-тармағының 1-3) тармақшасына және "Коллекторлық қызмет туралы" Қазақстан Республикасы Заңының 15-бабы 1-тармағының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 нысаны;</w:t>
      </w:r>
    </w:p>
    <w:bookmarkEnd w:id="4"/>
    <w:bookmarkStart w:name="z8"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құқықтың (талап етудің) өту жағдайларын қамтитын шарттар бойынша Қазақстан Республикасының Ұлттық Банкі ұсынатын мәліметтер нысаны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 дамыту</w:t>
      </w:r>
    </w:p>
    <w:p>
      <w:pPr>
        <w:spacing w:after="0"/>
        <w:ind w:left="0"/>
        <w:jc w:val="both"/>
      </w:pPr>
      <w:r>
        <w:rPr>
          <w:rFonts w:ascii="Times New Roman"/>
          <w:b w:val="false"/>
          <w:i w:val="false"/>
          <w:color w:val="000000"/>
          <w:sz w:val="28"/>
        </w:rPr>
        <w:t>
      агентігі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434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______________ 20___ жылғы "____" ________________ аралығындағы кезең үшін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765"/>
        <w:gridCol w:w="1175"/>
        <w:gridCol w:w="4412"/>
        <w:gridCol w:w="2370"/>
        <w:gridCol w:w="2101"/>
        <w:gridCol w:w="493"/>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БСН*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коллекторлық агенттікке берген кредитордың атауы</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талап ету құқығын берген кредитордың (екінші деңгейдегі банктер, Қазақстан Республикасы бейрезидент банктерінің филиалдары, жекелеген банк операцияларын жүзеге асыратын ұйымдар, микроқаржы ұйымдары) БСН*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атауы/Т.А.Ә.***</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ЖСН**/ БСН*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933"/>
        <w:gridCol w:w="2550"/>
        <w:gridCol w:w="1103"/>
        <w:gridCol w:w="933"/>
        <w:gridCol w:w="933"/>
        <w:gridCol w:w="933"/>
        <w:gridCol w:w="1605"/>
        <w:gridCol w:w="1438"/>
        <w:gridCol w:w="1104"/>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 жасасу күні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аяқталған күні</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(талап етудің) өту шарттарын қамтитын шартының № және шарт жасасудың күні</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сатып алу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сатып алған берешек</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кезінен бастап өспелі қорытындымен берешек өтелді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берешек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тағы басқалары түріндегі басқа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БСН – бизнес-сәйкестендіру нөмірі;</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 Т.А.Ә. – тегі, аты, әкесінің аты (бар болса);</w:t>
      </w:r>
    </w:p>
    <w:p>
      <w:pPr>
        <w:spacing w:after="0"/>
        <w:ind w:left="0"/>
        <w:jc w:val="both"/>
      </w:pPr>
      <w:r>
        <w:rPr>
          <w:rFonts w:ascii="Times New Roman"/>
          <w:b w:val="false"/>
          <w:i w:val="false"/>
          <w:color w:val="000000"/>
          <w:sz w:val="28"/>
        </w:rPr>
        <w:t>
      17, 18 – бағандарды екінші деңгейдегі банктер, Қазақстан Республикасы бейрезидент банктерінің филиалдары мен жекелеген банк операцияларын жүзеге асыратын ұйымдар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434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______________ жағдайы бойынша құқықтың (талап етудің) өту жағдайларын қамтитын шарттар бойынша Қазақстан Республикасы Ұлттық Банкі ұсынатын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149"/>
        <w:gridCol w:w="1304"/>
        <w:gridCol w:w="3481"/>
        <w:gridCol w:w="1305"/>
        <w:gridCol w:w="2757"/>
      </w:tblGrid>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талап ету құқықтарының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238"/>
        <w:gridCol w:w="838"/>
        <w:gridCol w:w="1771"/>
        <w:gridCol w:w="1302"/>
        <w:gridCol w:w="2238"/>
        <w:gridCol w:w="1302"/>
        <w:gridCol w:w="1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талаптардың ағымдағы қалдығы</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