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3249" w14:textId="fc13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11 мамырдағы № 443 бұйрығы. Қазақстан Республикасының Әділет министрлігінде 2021 жылғы 11 мамырда № 22737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167-тармағы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"167. Мемлекеттік мекеме Қазақстан Республикасы Үкіметінің резервінен қаражат бөлу жағдайларын қоспағанда, міндеттемелер бойынша жеке қаржыландыру жоспарының шегінде бір бюджеттік бағдарлама аясында шарт жасасады.</w:t>
      </w:r>
    </w:p>
    <w:bookmarkEnd w:id="3"/>
    <w:p>
      <w:pPr>
        <w:spacing w:after="0"/>
        <w:ind w:left="0"/>
        <w:jc w:val="both"/>
      </w:pPr>
      <w:r>
        <w:rPr>
          <w:rFonts w:ascii="Times New Roman"/>
          <w:b w:val="false"/>
          <w:i w:val="false"/>
          <w:color w:val="000000"/>
          <w:sz w:val="28"/>
        </w:rPr>
        <w:t>
      Мемлекеттік мекеме ақша алушының біреуімен бюджеттік кіші бағдарламалардың немесе шығыстардың экономикалық сыныптамасының бірнеше ерекшеліктері бойынша шарт жасасқан кезде шартта жалпы соманы әрбір бюджеттік кіші бағдарлама немесе шығыстардың бюджеттік сыныптамасының әрбір коды бойынша бөле отырып көрсетеді.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шартты жасасу кезінде мемлекеттік мекеме заңнамада белгіленген мөлшерде жергілікті бюджеттен қоса қаржыландырудың жыл сайынғы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188-тармақтың</w:t>
      </w:r>
      <w:r>
        <w:rPr>
          <w:rFonts w:ascii="Times New Roman"/>
          <w:b w:val="false"/>
          <w:i w:val="false"/>
          <w:color w:val="000000"/>
          <w:sz w:val="28"/>
        </w:rPr>
        <w:t xml:space="preserve"> үшінші бөлігі мынадай редакцияда жазылсын:</w:t>
      </w:r>
    </w:p>
    <w:bookmarkStart w:name="z8" w:id="4"/>
    <w:p>
      <w:pPr>
        <w:spacing w:after="0"/>
        <w:ind w:left="0"/>
        <w:jc w:val="both"/>
      </w:pPr>
      <w:r>
        <w:rPr>
          <w:rFonts w:ascii="Times New Roman"/>
          <w:b w:val="false"/>
          <w:i w:val="false"/>
          <w:color w:val="000000"/>
          <w:sz w:val="28"/>
        </w:rPr>
        <w:t>
      "Мемлекеттік сатып алу туралы заңнаманың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аумақтық қазынашылық бөлімшесіне "Электрондық мемлекеттік сатып алу" автоматтандырылған интеграцияланған ақпараттық жүйесінен (бұдан әрі – "Электрондық мемлекеттік сатып алу" АИАЖ)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199-тармағы</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АЖ бойынша қағаз жеткізгіште немесе электрондық түрде мыналарға:</w:t>
      </w:r>
    </w:p>
    <w:bookmarkEnd w:id="5"/>
    <w:p>
      <w:pPr>
        <w:spacing w:after="0"/>
        <w:ind w:left="0"/>
        <w:jc w:val="both"/>
      </w:pPr>
      <w:r>
        <w:rPr>
          <w:rFonts w:ascii="Times New Roman"/>
          <w:b w:val="false"/>
          <w:i w:val="false"/>
          <w:color w:val="000000"/>
          <w:sz w:val="28"/>
        </w:rPr>
        <w:t>
      1) мемлекеттік мекеме атауының көрсетілу дұрыстығына;</w:t>
      </w:r>
    </w:p>
    <w:p>
      <w:pPr>
        <w:spacing w:after="0"/>
        <w:ind w:left="0"/>
        <w:jc w:val="both"/>
      </w:pP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p>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p>
      <w:pPr>
        <w:spacing w:after="0"/>
        <w:ind w:left="0"/>
        <w:jc w:val="both"/>
      </w:pPr>
      <w:r>
        <w:rPr>
          <w:rFonts w:ascii="Times New Roman"/>
          <w:b w:val="false"/>
          <w:i w:val="false"/>
          <w:color w:val="000000"/>
          <w:sz w:val="28"/>
        </w:rPr>
        <w:t>
      6) қағаз жеткізгіштегі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АЖ бойынша электрондық түрі ұсынылған кезде ЭЦҚ түпнұсқалығы және мемлекеттік мекеменің және ақша алушының елтаңбалы мөрінің бедері анықтығы тексеріледі;</w:t>
      </w:r>
    </w:p>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167-тармағында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p>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p>
      <w:pPr>
        <w:spacing w:after="0"/>
        <w:ind w:left="0"/>
        <w:jc w:val="both"/>
      </w:pPr>
      <w:r>
        <w:rPr>
          <w:rFonts w:ascii="Times New Roman"/>
          <w:b w:val="false"/>
          <w:i w:val="false"/>
          <w:color w:val="000000"/>
          <w:sz w:val="28"/>
        </w:rPr>
        <w:t>
      13)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p>
      <w:pPr>
        <w:spacing w:after="0"/>
        <w:ind w:left="0"/>
        <w:jc w:val="both"/>
      </w:pPr>
      <w:r>
        <w:rPr>
          <w:rFonts w:ascii="Times New Roman"/>
          <w:b w:val="false"/>
          <w:i w:val="false"/>
          <w:color w:val="000000"/>
          <w:sz w:val="28"/>
        </w:rPr>
        <w:t>
      14) шарттың, оны аумақтық қазынашылық бөлімшесінде міндетті тіркегеннен кейін күшіне ену талаптарының шартта болуы;</w:t>
      </w:r>
    </w:p>
    <w:p>
      <w:pPr>
        <w:spacing w:after="0"/>
        <w:ind w:left="0"/>
        <w:jc w:val="both"/>
      </w:pPr>
      <w:r>
        <w:rPr>
          <w:rFonts w:ascii="Times New Roman"/>
          <w:b w:val="false"/>
          <w:i w:val="false"/>
          <w:color w:val="000000"/>
          <w:sz w:val="28"/>
        </w:rPr>
        <w:t>
      15)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түспеуіне;</w:t>
      </w:r>
    </w:p>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Мемлекеттік ғылыми-техникалық сараптама қорытындысын алғаннан кейін түпкілікті төлемді жүзеге асыру міндетті шартының болуы;</w:t>
      </w:r>
    </w:p>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заңнамалық актінің бабына (тармақшасына, тармағына) сілтеме міндетті түрде көрсетілуі бар болуы қажет.";</w:t>
      </w:r>
    </w:p>
    <w:bookmarkStart w:name="z11" w:id="6"/>
    <w:p>
      <w:pPr>
        <w:spacing w:after="0"/>
        <w:ind w:left="0"/>
        <w:jc w:val="both"/>
      </w:pPr>
      <w:r>
        <w:rPr>
          <w:rFonts w:ascii="Times New Roman"/>
          <w:b w:val="false"/>
          <w:i w:val="false"/>
          <w:color w:val="000000"/>
          <w:sz w:val="28"/>
        </w:rPr>
        <w:t>
      202-тармағы мынадай редакцияда жазылсын:</w:t>
      </w:r>
    </w:p>
    <w:bookmarkEnd w:id="6"/>
    <w:bookmarkStart w:name="z12" w:id="7"/>
    <w:p>
      <w:pPr>
        <w:spacing w:after="0"/>
        <w:ind w:left="0"/>
        <w:jc w:val="both"/>
      </w:pPr>
      <w:r>
        <w:rPr>
          <w:rFonts w:ascii="Times New Roman"/>
          <w:b w:val="false"/>
          <w:i w:val="false"/>
          <w:color w:val="000000"/>
          <w:sz w:val="28"/>
        </w:rPr>
        <w:t xml:space="preserve">
      "202. Өтiнiм дұрыс рәсімделмеген және оған қоса берiлген құжаттарға не шарт осы Ереженің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171-тармақтарында</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201-тармақтарында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w:t>
      </w:r>
    </w:p>
    <w:bookmarkEnd w:id="7"/>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екі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p>
      <w:pPr>
        <w:spacing w:after="0"/>
        <w:ind w:left="0"/>
        <w:jc w:val="both"/>
      </w:pP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164-171, 173-178, 180-185, 188,194, 198, 199 және 201-тармақтарында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bookmarkStart w:name="z13"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9"/>
    <w:bookmarkStart w:name="z15"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6"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