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517b" w14:textId="ad35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мамандарын даярлау, қайта даярлау және олардың біліктілігін арттыру бойынша өрт қауіпсіздігі саласындағы мамандандырылған оқу орталықтарына қойылатын біліктілік талаптарын бекіту туралы" Қазақстан Республикасы Ішкі істер министрінің 2015 жылғы 16 қарашадағы № 926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сәуірдегі № 178 бұйрығы. Қазақстан Республикасының Әділет министрлігінде 2021 жылғы 22 сәуірде № 22592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емес өртке қарсы қызметтердің мамандарын даярлау, қайта даярлау және олардың біліктілігін арттыру бойынша өрт қауіпсіздігі саласындағы мамандандырылған оқу орталықтарына қойылатын біліктілік талаптарын бекіту туралы" Қазақстан Республикасы Ішкі істер министрінің 2015 жылғы 16 қарашадағы № 926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12478 болып тіркелген, 2015 жылғы 31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"1) оқу жұмыс жоспарларының болуы;;</w:t>
      </w:r>
    </w:p>
    <w:bookmarkEnd w:id="3"/>
    <w:p>
      <w:pPr>
        <w:spacing w:after="0"/>
        <w:ind w:left="0"/>
        <w:jc w:val="both"/>
      </w:pPr>
      <w:r>
        <w:rPr>
          <w:rFonts w:ascii="Times New Roman"/>
          <w:b w:val="false"/>
          <w:i w:val="false"/>
          <w:color w:val="000000"/>
          <w:sz w:val="28"/>
        </w:rPr>
        <w:t>
      2) штаттағы оқытушылардың "Өрт қауіпсіздігі" немесе "Төтенше жағдайларда қорғау" мамандығы бойынша техникалық және кәсіптік, орта білімнен кейінгі немесе жоғары білімінің болуы, өртке қарсы қызмет бөліністерінде басшы лауазымда практикалық жұмыс өтілі бес жылдан кем емес болуы;</w:t>
      </w:r>
    </w:p>
    <w:p>
      <w:pPr>
        <w:spacing w:after="0"/>
        <w:ind w:left="0"/>
        <w:jc w:val="both"/>
      </w:pPr>
      <w:r>
        <w:rPr>
          <w:rFonts w:ascii="Times New Roman"/>
          <w:b w:val="false"/>
          <w:i w:val="false"/>
          <w:color w:val="000000"/>
          <w:sz w:val="28"/>
        </w:rPr>
        <w:t xml:space="preserve">
      3) интернет желісіне қосылған компьютерлермен, "Халық денсаулығы және денсаулық сақтау жүйесі туралы" 2020 жылғы 7 шілдегі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санитариялық қағидалар мен гигиеналық нормативтерге сай келетін оқу кабинеттерімен, оқытудың техникалық құралдарымен, макеттермен, тренажерлармен, оқулықтармен және оқу әдістемелік материалдармен жарақталуы;</w:t>
      </w:r>
    </w:p>
    <w:p>
      <w:pPr>
        <w:spacing w:after="0"/>
        <w:ind w:left="0"/>
        <w:jc w:val="both"/>
      </w:pPr>
      <w:r>
        <w:rPr>
          <w:rFonts w:ascii="Times New Roman"/>
          <w:b w:val="false"/>
          <w:i w:val="false"/>
          <w:color w:val="000000"/>
          <w:sz w:val="28"/>
        </w:rPr>
        <w:t>
      4) 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(өрт сөндіру техникасы, жаттығу-машықтану мұнарасы, жылу-түтін камерасы, психологиялық дайындық жолағы) болуы;</w:t>
      </w:r>
    </w:p>
    <w:p>
      <w:pPr>
        <w:spacing w:after="0"/>
        <w:ind w:left="0"/>
        <w:jc w:val="both"/>
      </w:pPr>
      <w:r>
        <w:rPr>
          <w:rFonts w:ascii="Times New Roman"/>
          <w:b w:val="false"/>
          <w:i w:val="false"/>
          <w:color w:val="000000"/>
          <w:sz w:val="28"/>
        </w:rPr>
        <w:t>
      5) оқу әдебиетін, оқу міндеттері мен тапсырмаларын, бейнефильмдердің тақырыптық жинақтарын, оқу-көрнекі материалдарын, бақылау карточкаларын, оқыту бағдарламаларын, емтихан билеттерінің жиынтықтарын, практикалық тапсырмалар сипаттамаларын және әрбір оқу бағдарламасына басқа да оқу-әдістемелік материалдарды қамтитын оқу-әдістемелік материалдар қорының болуы.".</w:t>
      </w:r>
    </w:p>
    <w:bookmarkStart w:name="z6" w:id="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Төтенше жағдайлар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мемлекеттік тіркеген күннен кейін он жұмыс күн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