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1f31" w14:textId="66f1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мәмілелері мен шарттары бойынша мәліметтерді нотариустардың ұсыну нысанын, қағидаларын және мерзімдерін бекіту туралы" Қазақстан Республикасы Премьер-Министрінің Бірінші орынбасары – Қазақстан Республикасы Қаржы министрінің 2020 жылғы 2 наурыздағы № 212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25 наурыздағы № 246 бұйрығы. Қазақстан Республикасының Әділет министрлігінде 2021 жылғы 26 наурызда № 22399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тұлғалардың мәмілелері мен шарттары бойынша мәліметтерді нотариустардың ұсыну нысанын, қағидаларын және мерзімдерін бекіту туралы" Қазақстан Республикасы Премьер-Министрінің Бірінші орынбасары – Қазақстан Республикасы Қаржы министрінің 2020 жылғы 2 наурыздағы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20208 болып тіркелген, 2020 жылғы 2 сәуірде Қазақстан Республикасы нормативтік құқықтық актілерінің эталондық бақылау банкінде жарияланған) мынадай өзгерістер енгізiлсiн: </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"Жеке тұлғалардың мәмілелері мен шарттары, сондай-ақ мұраға құқықтылығы туралы берілген куәліктері бойынша мәліметтерді нотариустардың ұсыну нысанын, қағидаларын және мерзімдерін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w:t>
      </w:r>
    </w:p>
    <w:bookmarkEnd w:id="4"/>
    <w:bookmarkStart w:name="z7"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тұлғалардың мәмілелері мен шарттары, сондай-ақ мұраға құқық туралы берілген куәліктер бойынша мәліметтердің нысаны;</w:t>
      </w:r>
    </w:p>
    <w:bookmarkEnd w:id="5"/>
    <w:bookmarkStart w:name="z8"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тұлғалардың мәмілелері мен шарттары, сондай-ақ мұраға құқық туралы берілген куәліктері бойынша мәліметтерді нотариустардың ұсыну қағидалары мен мерзімдері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жеке тұлғалардың мәмілелері мен шарттары бойынша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Жеке тұлғалардың мәмілелері мен шарттары бойынша мәліметтерді нотариустардың ұсыну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4" w:id="1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12"/>
    <w:bookmarkStart w:name="z15"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246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 наурызындағы</w:t>
            </w:r>
            <w:r>
              <w:br/>
            </w:r>
            <w:r>
              <w:rPr>
                <w:rFonts w:ascii="Times New Roman"/>
                <w:b w:val="false"/>
                <w:i w:val="false"/>
                <w:color w:val="000000"/>
                <w:sz w:val="20"/>
              </w:rPr>
              <w:t>№ 212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4"/>
    <w:p>
      <w:pPr>
        <w:spacing w:after="0"/>
        <w:ind w:left="0"/>
        <w:jc w:val="left"/>
      </w:pPr>
      <w:r>
        <w:rPr>
          <w:rFonts w:ascii="Times New Roman"/>
          <w:b/>
          <w:i w:val="false"/>
          <w:color w:val="000000"/>
        </w:rPr>
        <w:t xml:space="preserve"> Жеке тұлғалардың мәмілелері мен шарттары, сондай-ақ мұраға құқық туралы берілген куәліктері бойынша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269"/>
        <w:gridCol w:w="1236"/>
        <w:gridCol w:w="2491"/>
        <w:gridCol w:w="1106"/>
        <w:gridCol w:w="1107"/>
        <w:gridCol w:w="1107"/>
        <w:gridCol w:w="1214"/>
        <w:gridCol w:w="1217"/>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тұлға туралы мәлімет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Нотариаттық іс-әрекеттер тарапы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Мәліметтер коды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сәйкестендіру нөмірі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(ол болған кезде)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тараптың жеке сәйкестендіру/бизнес-сәйкестендіру нөмірі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(ол болған кезде)/атауы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Шарт/мәміле/куәлі мәнінің атауы (болған кезде)</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тіркелу күні</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Шарт/мәміле/куәлік мәнінің құны, теңгемен</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 туралы мәлімет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5"/>
    <w:p>
      <w:pPr>
        <w:spacing w:after="0"/>
        <w:ind w:left="0"/>
        <w:jc w:val="left"/>
      </w:pPr>
      <w:r>
        <w:rPr>
          <w:rFonts w:ascii="Times New Roman"/>
          <w:b/>
          <w:i w:val="false"/>
          <w:color w:val="000000"/>
        </w:rPr>
        <w:t xml:space="preserve"> Жеке тұлғалардың мәмілелері мен шарттары, сондай-ақ мұраға құқық туралы берілген куәліктер бойынша мәліметтер" нысанын толтыру бойынша түсіндірме</w:t>
      </w:r>
    </w:p>
    <w:bookmarkEnd w:id="15"/>
    <w:bookmarkStart w:name="z20" w:id="16"/>
    <w:p>
      <w:pPr>
        <w:spacing w:after="0"/>
        <w:ind w:left="0"/>
        <w:jc w:val="both"/>
      </w:pPr>
      <w:r>
        <w:rPr>
          <w:rFonts w:ascii="Times New Roman"/>
          <w:b w:val="false"/>
          <w:i w:val="false"/>
          <w:color w:val="000000"/>
          <w:sz w:val="28"/>
        </w:rPr>
        <w:t>
      "Жеке тұлғалардың мәмілелері мен шарттары, сондай-ақ мұраға құқық туралы берілген куәліктер бойынша мәліметтер" нысанын нотариустар ұсынады және мынадай деректерді қамтиды:</w:t>
      </w:r>
    </w:p>
    <w:bookmarkEnd w:id="16"/>
    <w:bookmarkStart w:name="z21" w:id="17"/>
    <w:p>
      <w:pPr>
        <w:spacing w:after="0"/>
        <w:ind w:left="0"/>
        <w:jc w:val="both"/>
      </w:pPr>
      <w:r>
        <w:rPr>
          <w:rFonts w:ascii="Times New Roman"/>
          <w:b w:val="false"/>
          <w:i w:val="false"/>
          <w:color w:val="000000"/>
          <w:sz w:val="28"/>
        </w:rPr>
        <w:t>
      1-бағанда – жолдың реттік нөмірі;</w:t>
      </w:r>
    </w:p>
    <w:bookmarkEnd w:id="17"/>
    <w:bookmarkStart w:name="z22" w:id="18"/>
    <w:p>
      <w:pPr>
        <w:spacing w:after="0"/>
        <w:ind w:left="0"/>
        <w:jc w:val="both"/>
      </w:pPr>
      <w:r>
        <w:rPr>
          <w:rFonts w:ascii="Times New Roman"/>
          <w:b w:val="false"/>
          <w:i w:val="false"/>
          <w:color w:val="000000"/>
          <w:sz w:val="28"/>
        </w:rPr>
        <w:t>
      2-бағанда – нотариаттық іс-әрекеттер тарапы болып табылатын жеке тұлғаның жеке сәйкестендіру нөмірі;</w:t>
      </w:r>
    </w:p>
    <w:bookmarkEnd w:id="18"/>
    <w:bookmarkStart w:name="z23" w:id="19"/>
    <w:p>
      <w:pPr>
        <w:spacing w:after="0"/>
        <w:ind w:left="0"/>
        <w:jc w:val="both"/>
      </w:pPr>
      <w:r>
        <w:rPr>
          <w:rFonts w:ascii="Times New Roman"/>
          <w:b w:val="false"/>
          <w:i w:val="false"/>
          <w:color w:val="000000"/>
          <w:sz w:val="28"/>
        </w:rPr>
        <w:t>
      3-бағанда – 2-бағанда көрсетілген жеке тұлғаның тегі, аты, әкесінің аты (ол болған кезде);</w:t>
      </w:r>
    </w:p>
    <w:bookmarkEnd w:id="19"/>
    <w:bookmarkStart w:name="z24" w:id="20"/>
    <w:p>
      <w:pPr>
        <w:spacing w:after="0"/>
        <w:ind w:left="0"/>
        <w:jc w:val="both"/>
      </w:pPr>
      <w:r>
        <w:rPr>
          <w:rFonts w:ascii="Times New Roman"/>
          <w:b w:val="false"/>
          <w:i w:val="false"/>
          <w:color w:val="000000"/>
          <w:sz w:val="28"/>
        </w:rPr>
        <w:t>
      4-бағанда – нотариаттық іс-әрекеттер тарапы болып табылатын тұлғаның бизнес-сәйкестендіру нөмірі немесе жеке сәйкестендіру нөмірі. Егер тараптар бірнешеу болса, әрбір тарап бойынша деректер жеке жолмен көрсетіледі, бұл ретте 1-бағандағы реттік нөмір, қатысушылардың санына қарамастан өзгеріссіз қалады;</w:t>
      </w:r>
    </w:p>
    <w:bookmarkEnd w:id="20"/>
    <w:bookmarkStart w:name="z25" w:id="21"/>
    <w:p>
      <w:pPr>
        <w:spacing w:after="0"/>
        <w:ind w:left="0"/>
        <w:jc w:val="both"/>
      </w:pPr>
      <w:r>
        <w:rPr>
          <w:rFonts w:ascii="Times New Roman"/>
          <w:b w:val="false"/>
          <w:i w:val="false"/>
          <w:color w:val="000000"/>
          <w:sz w:val="28"/>
        </w:rPr>
        <w:t>
      5-бағанда – 4-бағанда көрсетілген жеке/заңды тұлғаның тегі, аты, әкесінің аты (ол болған кезде)/атауы;</w:t>
      </w:r>
    </w:p>
    <w:bookmarkEnd w:id="21"/>
    <w:bookmarkStart w:name="z26" w:id="22"/>
    <w:p>
      <w:pPr>
        <w:spacing w:after="0"/>
        <w:ind w:left="0"/>
        <w:jc w:val="both"/>
      </w:pPr>
      <w:r>
        <w:rPr>
          <w:rFonts w:ascii="Times New Roman"/>
          <w:b w:val="false"/>
          <w:i w:val="false"/>
          <w:color w:val="000000"/>
          <w:sz w:val="28"/>
        </w:rPr>
        <w:t>
      6-бағанда – мәліметтер коды:</w:t>
      </w:r>
    </w:p>
    <w:bookmarkEnd w:id="22"/>
    <w:bookmarkStart w:name="z27" w:id="23"/>
    <w:p>
      <w:pPr>
        <w:spacing w:after="0"/>
        <w:ind w:left="0"/>
        <w:jc w:val="both"/>
      </w:pPr>
      <w:r>
        <w:rPr>
          <w:rFonts w:ascii="Times New Roman"/>
          <w:b w:val="false"/>
          <w:i w:val="false"/>
          <w:color w:val="000000"/>
          <w:sz w:val="28"/>
        </w:rPr>
        <w:t>
      001 – мемлекеттік немесе өзге де тіркеуге жататын мүлік бойынша, сондай-ақ құқықтары және (немесе) мәмілелері мемлекеттік немесе өзге де тіркеуге жататын мүлік бойынша мәмілелер мен шарттар туралы мәліметтерді көрсету кезінде;</w:t>
      </w:r>
    </w:p>
    <w:bookmarkEnd w:id="23"/>
    <w:bookmarkStart w:name="z28" w:id="24"/>
    <w:p>
      <w:pPr>
        <w:spacing w:after="0"/>
        <w:ind w:left="0"/>
        <w:jc w:val="both"/>
      </w:pPr>
      <w:r>
        <w:rPr>
          <w:rFonts w:ascii="Times New Roman"/>
          <w:b w:val="false"/>
          <w:i w:val="false"/>
          <w:color w:val="000000"/>
          <w:sz w:val="28"/>
        </w:rPr>
        <w:t>
      002 – мұраға құқық туралы берілген куәліктер туралы мәліметтерді көрсету кезінде;</w:t>
      </w:r>
    </w:p>
    <w:bookmarkEnd w:id="24"/>
    <w:bookmarkStart w:name="z29" w:id="25"/>
    <w:p>
      <w:pPr>
        <w:spacing w:after="0"/>
        <w:ind w:left="0"/>
        <w:jc w:val="both"/>
      </w:pPr>
      <w:r>
        <w:rPr>
          <w:rFonts w:ascii="Times New Roman"/>
          <w:b w:val="false"/>
          <w:i w:val="false"/>
          <w:color w:val="000000"/>
          <w:sz w:val="28"/>
        </w:rPr>
        <w:t>
      003 – егер мәміледе (шартта) көзделген баға республикалық бюджет туралы заңда белгіленген және тиісті қаржы жылының 1 қаңтарына қолданыста болатын айлық есептік көрсеткіштің екі мың еселенген мөлшерінен асқан жағдайда, төменде 004 және 005 мәліметтерінде көрсетілген жеке тұлғалар арасында жасалған қарыз шарттарын қоспағанда, осы тармақта көрсетілмеген басқа да мәмілелер мен шарттар туралы мәліметтерді көрсету кезінде;</w:t>
      </w:r>
    </w:p>
    <w:bookmarkEnd w:id="25"/>
    <w:bookmarkStart w:name="z30" w:id="26"/>
    <w:p>
      <w:pPr>
        <w:spacing w:after="0"/>
        <w:ind w:left="0"/>
        <w:jc w:val="both"/>
      </w:pPr>
      <w:r>
        <w:rPr>
          <w:rFonts w:ascii="Times New Roman"/>
          <w:b w:val="false"/>
          <w:i w:val="false"/>
          <w:color w:val="000000"/>
          <w:sz w:val="28"/>
        </w:rPr>
        <w:t>
      004 – жеке тұлғалар арасында жасалған қарыз шарттары туралы мәліметтерді көрсету кезінде;</w:t>
      </w:r>
    </w:p>
    <w:bookmarkEnd w:id="26"/>
    <w:bookmarkStart w:name="z31" w:id="27"/>
    <w:p>
      <w:pPr>
        <w:spacing w:after="0"/>
        <w:ind w:left="0"/>
        <w:jc w:val="both"/>
      </w:pPr>
      <w:r>
        <w:rPr>
          <w:rFonts w:ascii="Times New Roman"/>
          <w:b w:val="false"/>
          <w:i w:val="false"/>
          <w:color w:val="000000"/>
          <w:sz w:val="28"/>
        </w:rPr>
        <w:t>
      005 – мемлекеттік немесе өзге де тіркеуге жатпайтын мүлікті беру жөніндегі өзге де шарттар туралы мәліметтерді көрсету кезінде;</w:t>
      </w:r>
    </w:p>
    <w:bookmarkEnd w:id="27"/>
    <w:bookmarkStart w:name="z32" w:id="28"/>
    <w:p>
      <w:pPr>
        <w:spacing w:after="0"/>
        <w:ind w:left="0"/>
        <w:jc w:val="both"/>
      </w:pPr>
      <w:r>
        <w:rPr>
          <w:rFonts w:ascii="Times New Roman"/>
          <w:b w:val="false"/>
          <w:i w:val="false"/>
          <w:color w:val="000000"/>
          <w:sz w:val="28"/>
        </w:rPr>
        <w:t>
      7-бағанда – шарт/мәміле/куәлік мәнінің атауы;</w:t>
      </w:r>
    </w:p>
    <w:bookmarkEnd w:id="28"/>
    <w:bookmarkStart w:name="z33" w:id="29"/>
    <w:p>
      <w:pPr>
        <w:spacing w:after="0"/>
        <w:ind w:left="0"/>
        <w:jc w:val="both"/>
      </w:pPr>
      <w:r>
        <w:rPr>
          <w:rFonts w:ascii="Times New Roman"/>
          <w:b w:val="false"/>
          <w:i w:val="false"/>
          <w:color w:val="000000"/>
          <w:sz w:val="28"/>
        </w:rPr>
        <w:t>
      8-бағанда – нотариаттық іс-әрекеттерді тіркеу күні;</w:t>
      </w:r>
    </w:p>
    <w:bookmarkEnd w:id="29"/>
    <w:bookmarkStart w:name="z34" w:id="30"/>
    <w:p>
      <w:pPr>
        <w:spacing w:after="0"/>
        <w:ind w:left="0"/>
        <w:jc w:val="both"/>
      </w:pPr>
      <w:r>
        <w:rPr>
          <w:rFonts w:ascii="Times New Roman"/>
          <w:b w:val="false"/>
          <w:i w:val="false"/>
          <w:color w:val="000000"/>
          <w:sz w:val="28"/>
        </w:rPr>
        <w:t>
      9-бағанда – 7-бағанда көрсетілген шарт/мәміле/куәлік мәнінің құны, теңгемен. Егер құн туралы деректер болмаған жағдайда, 9-бағанда нөл көрсетіледі;</w:t>
      </w:r>
    </w:p>
    <w:bookmarkEnd w:id="30"/>
    <w:bookmarkStart w:name="z35" w:id="31"/>
    <w:p>
      <w:pPr>
        <w:spacing w:after="0"/>
        <w:ind w:left="0"/>
        <w:jc w:val="both"/>
      </w:pPr>
      <w:r>
        <w:rPr>
          <w:rFonts w:ascii="Times New Roman"/>
          <w:b w:val="false"/>
          <w:i w:val="false"/>
          <w:color w:val="000000"/>
          <w:sz w:val="28"/>
        </w:rPr>
        <w:t>
      10-бағанда – 7-бағанда көрсетілген мүліктегі үлесі;</w:t>
      </w:r>
    </w:p>
    <w:bookmarkEnd w:id="31"/>
    <w:bookmarkStart w:name="z36" w:id="32"/>
    <w:p>
      <w:pPr>
        <w:spacing w:after="0"/>
        <w:ind w:left="0"/>
        <w:jc w:val="both"/>
      </w:pPr>
      <w:r>
        <w:rPr>
          <w:rFonts w:ascii="Times New Roman"/>
          <w:b w:val="false"/>
          <w:i w:val="false"/>
          <w:color w:val="000000"/>
          <w:sz w:val="28"/>
        </w:rPr>
        <w:t xml:space="preserve">
      11-бағанда – 7-бағанда көрсетілген шарт мәнінің кадастрлық нөмірі (болған кезде); </w:t>
      </w:r>
    </w:p>
    <w:bookmarkEnd w:id="32"/>
    <w:bookmarkStart w:name="z37" w:id="33"/>
    <w:p>
      <w:pPr>
        <w:spacing w:after="0"/>
        <w:ind w:left="0"/>
        <w:jc w:val="both"/>
      </w:pPr>
      <w:r>
        <w:rPr>
          <w:rFonts w:ascii="Times New Roman"/>
          <w:b w:val="false"/>
          <w:i w:val="false"/>
          <w:color w:val="000000"/>
          <w:sz w:val="28"/>
        </w:rPr>
        <w:t>
      12-бағанда – нотариустың жеке сәйкестендіру нөмірі;</w:t>
      </w:r>
    </w:p>
    <w:bookmarkEnd w:id="33"/>
    <w:bookmarkStart w:name="z38" w:id="34"/>
    <w:p>
      <w:pPr>
        <w:spacing w:after="0"/>
        <w:ind w:left="0"/>
        <w:jc w:val="both"/>
      </w:pPr>
      <w:r>
        <w:rPr>
          <w:rFonts w:ascii="Times New Roman"/>
          <w:b w:val="false"/>
          <w:i w:val="false"/>
          <w:color w:val="000000"/>
          <w:sz w:val="28"/>
        </w:rPr>
        <w:t>
      13-бағанда – нотариустың тегі, аты, әкесінің аты (ол болған кезде).</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246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 наурызындағы</w:t>
            </w:r>
            <w:r>
              <w:br/>
            </w:r>
            <w:r>
              <w:rPr>
                <w:rFonts w:ascii="Times New Roman"/>
                <w:b w:val="false"/>
                <w:i w:val="false"/>
                <w:color w:val="000000"/>
                <w:sz w:val="20"/>
              </w:rPr>
              <w:t>№ 212 бұйрығына</w:t>
            </w:r>
            <w:r>
              <w:br/>
            </w:r>
            <w:r>
              <w:rPr>
                <w:rFonts w:ascii="Times New Roman"/>
                <w:b w:val="false"/>
                <w:i w:val="false"/>
                <w:color w:val="000000"/>
                <w:sz w:val="20"/>
              </w:rPr>
              <w:t>2-қосымша</w:t>
            </w:r>
          </w:p>
        </w:tc>
      </w:tr>
    </w:tbl>
    <w:bookmarkStart w:name="z41" w:id="35"/>
    <w:p>
      <w:pPr>
        <w:spacing w:after="0"/>
        <w:ind w:left="0"/>
        <w:jc w:val="left"/>
      </w:pPr>
      <w:r>
        <w:rPr>
          <w:rFonts w:ascii="Times New Roman"/>
          <w:b/>
          <w:i w:val="false"/>
          <w:color w:val="000000"/>
        </w:rPr>
        <w:t xml:space="preserve"> Жеке тұлғалардың мәмілелері мен шарттары,  сондай-ақ мұраға құқық туралы берілген куәліктері бойынша мәліметтерді нотариустардың ұсыну қағидалары және мерзімдері</w:t>
      </w:r>
    </w:p>
    <w:bookmarkEnd w:id="35"/>
    <w:bookmarkStart w:name="z42" w:id="36"/>
    <w:p>
      <w:pPr>
        <w:spacing w:after="0"/>
        <w:ind w:left="0"/>
        <w:jc w:val="left"/>
      </w:pPr>
      <w:r>
        <w:rPr>
          <w:rFonts w:ascii="Times New Roman"/>
          <w:b/>
          <w:i w:val="false"/>
          <w:color w:val="000000"/>
        </w:rPr>
        <w:t xml:space="preserve"> 1-тарау. Жалпы ережелер</w:t>
      </w:r>
    </w:p>
    <w:bookmarkEnd w:id="36"/>
    <w:bookmarkStart w:name="z43" w:id="37"/>
    <w:p>
      <w:pPr>
        <w:spacing w:after="0"/>
        <w:ind w:left="0"/>
        <w:jc w:val="both"/>
      </w:pPr>
      <w:r>
        <w:rPr>
          <w:rFonts w:ascii="Times New Roman"/>
          <w:b w:val="false"/>
          <w:i w:val="false"/>
          <w:color w:val="000000"/>
          <w:sz w:val="28"/>
        </w:rPr>
        <w:t xml:space="preserve">
      1. Осы Жеке тұлғалардың мәмілелері мен шарттары, сондай-ақ мұраға құқық туралы берілген куәліктері бойынша мәліметтерді нотариустардың ұсыну қағидалары және мерзімдері (бұдан әрі – Қағидалар) 2017 жылғы 25 желтоқсандағы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13-тармағына</w:t>
      </w:r>
      <w:r>
        <w:rPr>
          <w:rFonts w:ascii="Times New Roman"/>
          <w:b w:val="false"/>
          <w:i w:val="false"/>
          <w:color w:val="000000"/>
          <w:sz w:val="28"/>
        </w:rPr>
        <w:t xml:space="preserve"> сәйкес әзірленді және және нотариустардың жеке тұлғалар бойынша мынадай мәліметтерді (бұдан әрі – Мәліметтер):</w:t>
      </w:r>
    </w:p>
    <w:bookmarkEnd w:id="37"/>
    <w:bookmarkStart w:name="z44" w:id="38"/>
    <w:p>
      <w:pPr>
        <w:spacing w:after="0"/>
        <w:ind w:left="0"/>
        <w:jc w:val="both"/>
      </w:pPr>
      <w:r>
        <w:rPr>
          <w:rFonts w:ascii="Times New Roman"/>
          <w:b w:val="false"/>
          <w:i w:val="false"/>
          <w:color w:val="000000"/>
          <w:sz w:val="28"/>
        </w:rPr>
        <w:t>
      1) мемлекеттік немесе өзге де тіркеуге жататын мүлік бойынша, сондай-ақ құқықтары және (немесе) мәмілелері мемлекеттік немесе өзге де тіркеуге жататын мүлік бойынша мәмілелер мен шарттар туралы;</w:t>
      </w:r>
    </w:p>
    <w:bookmarkEnd w:id="38"/>
    <w:bookmarkStart w:name="z45" w:id="39"/>
    <w:p>
      <w:pPr>
        <w:spacing w:after="0"/>
        <w:ind w:left="0"/>
        <w:jc w:val="both"/>
      </w:pPr>
      <w:r>
        <w:rPr>
          <w:rFonts w:ascii="Times New Roman"/>
          <w:b w:val="false"/>
          <w:i w:val="false"/>
          <w:color w:val="000000"/>
          <w:sz w:val="28"/>
        </w:rPr>
        <w:t>
      2) мұраға құқық туралы берілген куәліктер туралы;</w:t>
      </w:r>
    </w:p>
    <w:bookmarkEnd w:id="39"/>
    <w:bookmarkStart w:name="z46" w:id="40"/>
    <w:p>
      <w:pPr>
        <w:spacing w:after="0"/>
        <w:ind w:left="0"/>
        <w:jc w:val="both"/>
      </w:pPr>
      <w:r>
        <w:rPr>
          <w:rFonts w:ascii="Times New Roman"/>
          <w:b w:val="false"/>
          <w:i w:val="false"/>
          <w:color w:val="000000"/>
          <w:sz w:val="28"/>
        </w:rPr>
        <w:t xml:space="preserve">
      3) егер мәміледе (шартта) көзделген баға республикалық бюджет туралы заңда белгіленген және тиісті қаржы жылының 1 қаңтарына қолданыста болатын айлық есептік көрсеткіштің екі мыңдық еселенген мөлшерінен асқан жағдайда, осы тармақтың 4) және 5) тармақшаларында белгіленген жеке тұлғалар арасында жасалған қарыз шарттарын қоспағанда, осы тармақта көрсетілмеген басқа да мәмілелер мен шарттар туралы; </w:t>
      </w:r>
    </w:p>
    <w:bookmarkEnd w:id="40"/>
    <w:bookmarkStart w:name="z47" w:id="41"/>
    <w:p>
      <w:pPr>
        <w:spacing w:after="0"/>
        <w:ind w:left="0"/>
        <w:jc w:val="both"/>
      </w:pPr>
      <w:r>
        <w:rPr>
          <w:rFonts w:ascii="Times New Roman"/>
          <w:b w:val="false"/>
          <w:i w:val="false"/>
          <w:color w:val="000000"/>
          <w:sz w:val="28"/>
        </w:rPr>
        <w:t>
      4) жеке тұлғалар арасында жасалған қарыз шарттары туралы;</w:t>
      </w:r>
    </w:p>
    <w:bookmarkEnd w:id="41"/>
    <w:bookmarkStart w:name="z48" w:id="42"/>
    <w:p>
      <w:pPr>
        <w:spacing w:after="0"/>
        <w:ind w:left="0"/>
        <w:jc w:val="both"/>
      </w:pPr>
      <w:r>
        <w:rPr>
          <w:rFonts w:ascii="Times New Roman"/>
          <w:b w:val="false"/>
          <w:i w:val="false"/>
          <w:color w:val="000000"/>
          <w:sz w:val="28"/>
        </w:rPr>
        <w:t>
      5) мемлекеттік немесе өзге де тіркеуге жатпайтын мүлікті беру жөніндегі өзге де шарттар туралы ұсыну тәртібі мен мерзімдерін айқындайды.</w:t>
      </w:r>
    </w:p>
    <w:bookmarkEnd w:id="42"/>
    <w:bookmarkStart w:name="z49" w:id="43"/>
    <w:p>
      <w:pPr>
        <w:spacing w:after="0"/>
        <w:ind w:left="0"/>
        <w:jc w:val="left"/>
      </w:pPr>
      <w:r>
        <w:rPr>
          <w:rFonts w:ascii="Times New Roman"/>
          <w:b/>
          <w:i w:val="false"/>
          <w:color w:val="000000"/>
        </w:rPr>
        <w:t xml:space="preserve"> 2-тарау. Жеке тұлғалардың мәмілелері мен шарттары,  сондай-ақ мұраға құқық туралы берілген куәліктері бойынша мәліметтерді ұсыну тәртібі мен мерзімдері</w:t>
      </w:r>
    </w:p>
    <w:bookmarkEnd w:id="43"/>
    <w:bookmarkStart w:name="z50" w:id="44"/>
    <w:p>
      <w:pPr>
        <w:spacing w:after="0"/>
        <w:ind w:left="0"/>
        <w:jc w:val="both"/>
      </w:pPr>
      <w:r>
        <w:rPr>
          <w:rFonts w:ascii="Times New Roman"/>
          <w:b w:val="false"/>
          <w:i w:val="false"/>
          <w:color w:val="000000"/>
          <w:sz w:val="28"/>
        </w:rPr>
        <w:t>
      2. Жеке практикамен айналысатын нотариус (бұдан әрі – нотариустар) мәмілені, шартты куәландырған, мұраға құқық туралы куәлікті берген күні Қазақстан Республикасы Қаржы министрлігінің Мемлекеттік кірістер комитетіне (бұдан әрі – Комитет) мәліметті жолдайды.</w:t>
      </w:r>
    </w:p>
    <w:bookmarkEnd w:id="44"/>
    <w:bookmarkStart w:name="z51" w:id="45"/>
    <w:p>
      <w:pPr>
        <w:spacing w:after="0"/>
        <w:ind w:left="0"/>
        <w:jc w:val="both"/>
      </w:pPr>
      <w:r>
        <w:rPr>
          <w:rFonts w:ascii="Times New Roman"/>
          <w:b w:val="false"/>
          <w:i w:val="false"/>
          <w:color w:val="000000"/>
          <w:sz w:val="28"/>
        </w:rPr>
        <w:t>
      3. Нотариустар мәліметтерді Қазақстан Республикасы Әділет министрлігінің "Е-нотариат" бірыңғай нотариаттық ақпараттық жүйесінен (бұдан әрі – БНАЖ) осы бұйрықтың 1-қосымшасына сәйкес бекітілген нысан бойынша Комитеттің "Интеграцияланған деректер қоры" (бұдан әрі – ИДҚ) ақпараттық жүйесіне автоматтандырылған түрде беруді жүзеге асырылады.</w:t>
      </w:r>
    </w:p>
    <w:bookmarkEnd w:id="45"/>
    <w:bookmarkStart w:name="z52" w:id="46"/>
    <w:p>
      <w:pPr>
        <w:spacing w:after="0"/>
        <w:ind w:left="0"/>
        <w:jc w:val="both"/>
      </w:pPr>
      <w:r>
        <w:rPr>
          <w:rFonts w:ascii="Times New Roman"/>
          <w:b w:val="false"/>
          <w:i w:val="false"/>
          <w:color w:val="000000"/>
          <w:sz w:val="28"/>
        </w:rPr>
        <w:t>
      4. БНАЖ және (немесе) ИДҚ жұмыстарында техникалық қате туындаған жағдайда нотариустар ақпараттық жүйелердің жұмысы қайта қалпына келген сәттен бастап 24 (жиырма төрт) сағат ішінде Мәліметтерді ұсынады.</w:t>
      </w:r>
    </w:p>
    <w:bookmarkEnd w:id="46"/>
    <w:bookmarkStart w:name="z53" w:id="47"/>
    <w:p>
      <w:pPr>
        <w:spacing w:after="0"/>
        <w:ind w:left="0"/>
        <w:jc w:val="both"/>
      </w:pPr>
      <w:r>
        <w:rPr>
          <w:rFonts w:ascii="Times New Roman"/>
          <w:b w:val="false"/>
          <w:i w:val="false"/>
          <w:color w:val="000000"/>
          <w:sz w:val="28"/>
        </w:rPr>
        <w:t>
      5. Комитет осы Қағидалардың шеңберінде алынған ақпараттың құпиялылығын қамтамасыз етеді.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