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f2a1" w14:textId="9f5f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станцияларының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12 наурыздағы № 77 бұйрығы. Қазақстан Республикасының Әділет министрлігінде 2021 жылғы 17 наурызда № 22343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"Атом станцияларының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15007 болып тіркелген, Қазақстан Республикасы нормативтік құқықтық актілерінің эталондық бақылау банкінде 2017 жылғы 2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"Атом станцияларының ядролық және радиациялық қауіпсіздігі" техникалық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"169. Уәкілетті органда тіркелуге мыналар жатады:</w:t>
      </w:r>
    </w:p>
    <w:bookmarkEnd w:id="3"/>
    <w:bookmarkStart w:name="z6" w:id="4"/>
    <w:p>
      <w:pPr>
        <w:spacing w:after="0"/>
        <w:ind w:left="0"/>
        <w:jc w:val="both"/>
      </w:pPr>
      <w:r>
        <w:rPr>
          <w:rFonts w:ascii="Times New Roman"/>
          <w:b w:val="false"/>
          <w:i w:val="false"/>
          <w:color w:val="000000"/>
          <w:sz w:val="28"/>
        </w:rPr>
        <w:t>
      1) 1-қауіпсіздік сыныбының жабдығы мен құбыржолдары;</w:t>
      </w:r>
    </w:p>
    <w:bookmarkEnd w:id="4"/>
    <w:bookmarkStart w:name="z7" w:id="5"/>
    <w:p>
      <w:pPr>
        <w:spacing w:after="0"/>
        <w:ind w:left="0"/>
        <w:jc w:val="both"/>
      </w:pPr>
      <w:r>
        <w:rPr>
          <w:rFonts w:ascii="Times New Roman"/>
          <w:b w:val="false"/>
          <w:i w:val="false"/>
          <w:color w:val="000000"/>
          <w:sz w:val="28"/>
        </w:rPr>
        <w:t>
      2) 2-қауіпсіздік сыныбының жабдығы мен құбыржолдары;</w:t>
      </w:r>
    </w:p>
    <w:bookmarkEnd w:id="5"/>
    <w:bookmarkStart w:name="z8" w:id="6"/>
    <w:p>
      <w:pPr>
        <w:spacing w:after="0"/>
        <w:ind w:left="0"/>
        <w:jc w:val="both"/>
      </w:pPr>
      <w:r>
        <w:rPr>
          <w:rFonts w:ascii="Times New Roman"/>
          <w:b w:val="false"/>
          <w:i w:val="false"/>
          <w:color w:val="000000"/>
          <w:sz w:val="28"/>
        </w:rPr>
        <w:t>
      3) 3-қауіпсіздік сыныбының жабдығы мен құбыржолдары мынадай жағдайлардың кез келгені болғанда: олардың бұзылуы орташа немесе жоғары белсенді радиоактивтік ортаның шығуына алып келгенде; жылу тасымалдағыштың температурасы 200</w:t>
      </w:r>
      <w:r>
        <w:rPr>
          <w:rFonts w:ascii="Times New Roman"/>
          <w:b w:val="false"/>
          <w:i w:val="false"/>
          <w:color w:val="000000"/>
          <w:vertAlign w:val="superscript"/>
        </w:rPr>
        <w:t xml:space="preserve"> </w:t>
      </w:r>
      <w:r>
        <w:rPr>
          <w:rFonts w:ascii="Times New Roman"/>
          <w:b w:val="false"/>
          <w:i w:val="false"/>
          <w:color w:val="000000"/>
          <w:sz w:val="28"/>
        </w:rPr>
        <w:t xml:space="preserve">градус Цельсийдан (бұдан әрі – </w:t>
      </w:r>
      <w:r>
        <w:rPr>
          <w:rFonts w:ascii="Times New Roman"/>
          <w:b w:val="false"/>
          <w:i w:val="false"/>
          <w:color w:val="000000"/>
          <w:vertAlign w:val="superscript"/>
        </w:rPr>
        <w:t>о</w:t>
      </w:r>
      <w:r>
        <w:rPr>
          <w:rFonts w:ascii="Times New Roman"/>
          <w:b w:val="false"/>
          <w:i w:val="false"/>
          <w:color w:val="000000"/>
          <w:sz w:val="28"/>
        </w:rPr>
        <w:t xml:space="preserve">С) асқанда; жылу тасымалдағыштың температурасы 200 </w:t>
      </w:r>
      <w:r>
        <w:rPr>
          <w:rFonts w:ascii="Times New Roman"/>
          <w:b w:val="false"/>
          <w:i w:val="false"/>
          <w:color w:val="000000"/>
          <w:vertAlign w:val="superscript"/>
        </w:rPr>
        <w:t>о</w:t>
      </w:r>
      <w:r>
        <w:rPr>
          <w:rFonts w:ascii="Times New Roman"/>
          <w:b w:val="false"/>
          <w:i w:val="false"/>
          <w:color w:val="000000"/>
          <w:sz w:val="28"/>
        </w:rPr>
        <w:t>С аспағанда, бірақ текше метрдегі (литрдегі) (бұдан әрі – м</w:t>
      </w:r>
      <w:r>
        <w:rPr>
          <w:rFonts w:ascii="Times New Roman"/>
          <w:b w:val="false"/>
          <w:i w:val="false"/>
          <w:color w:val="000000"/>
          <w:vertAlign w:val="superscript"/>
        </w:rPr>
        <w:t>3</w:t>
      </w:r>
      <w:r>
        <w:rPr>
          <w:rFonts w:ascii="Times New Roman"/>
          <w:b w:val="false"/>
          <w:i w:val="false"/>
          <w:color w:val="000000"/>
          <w:sz w:val="28"/>
        </w:rPr>
        <w:t>(л)) сыйымдылықтың мега Паскаль өлшем бірлігіндегі (бір шаршы сантиметрге күш килограмы (бұдан әрі – МПа, (кгс/см</w:t>
      </w:r>
      <w:r>
        <w:rPr>
          <w:rFonts w:ascii="Times New Roman"/>
          <w:b w:val="false"/>
          <w:i w:val="false"/>
          <w:color w:val="000000"/>
          <w:vertAlign w:val="superscript"/>
        </w:rPr>
        <w:t>2</w:t>
      </w:r>
      <w:r>
        <w:rPr>
          <w:rFonts w:ascii="Times New Roman"/>
          <w:b w:val="false"/>
          <w:i w:val="false"/>
          <w:color w:val="000000"/>
          <w:sz w:val="28"/>
        </w:rPr>
        <w:t xml:space="preserve">)) жұмыс қысымына көбейтіндісі 1-ден асқанда (10000 л </w:t>
      </w:r>
    </w:p>
    <w:bookmarkEnd w:id="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негізгі циркуляциялық сорғылардың корпустары.";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 </w:t>
      </w:r>
    </w:p>
    <w:bookmarkStart w:name="z11" w:id="8"/>
    <w:p>
      <w:pPr>
        <w:spacing w:after="0"/>
        <w:ind w:left="0"/>
        <w:jc w:val="both"/>
      </w:pPr>
      <w:r>
        <w:rPr>
          <w:rFonts w:ascii="Times New Roman"/>
          <w:b w:val="false"/>
          <w:i w:val="false"/>
          <w:color w:val="000000"/>
          <w:sz w:val="28"/>
        </w:rPr>
        <w:t>
      "238. Пайдаланудың соңына қарай нейтрондар флюенсі кемінде 1022 нейтрон/м</w:t>
      </w:r>
      <w:r>
        <w:rPr>
          <w:rFonts w:ascii="Times New Roman"/>
          <w:b w:val="false"/>
          <w:i w:val="false"/>
          <w:color w:val="000000"/>
          <w:vertAlign w:val="superscript"/>
        </w:rPr>
        <w:t>2</w:t>
      </w:r>
      <w:r>
        <w:rPr>
          <w:rFonts w:ascii="Times New Roman"/>
          <w:b w:val="false"/>
          <w:i w:val="false"/>
          <w:color w:val="000000"/>
          <w:sz w:val="28"/>
        </w:rPr>
        <w:t xml:space="preserve"> (Е &gt; 0,5 МэВ) жететін дәнекерлеу қосылыстарының үлгі-айғақтары белсенді аймаққа қарсы орналасқан реактор корпусының дәнекерлеу жіктерінің партиясындағыдай дәнекерлеу материалдарымен (флюспен автоматты дәнекерлеу кезінде бір партия флюсімен үйлестіре отырып партиясы бір сыммен, қолмен доғалық дәнекерлеу кезінде партиясы бір электродтармен, аргондық доғалық дәнекерлеу кезінде партиясы бір сыммен) орындалған болуы қажет. Егер маркасы бір, балқытуы бір, диаметрі бір және беткі түрі бір сым әртүрлі партиялармен жеткізілсе, оған жалпы нөмір бере отырып, бір партия (балқыту ) сымы ретінде қарау керек.";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272-тармақтар</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xml:space="preserve">
      "271. Жабдық пен құбыржолдарының гидравликалық (пневматикалық) сынақтары сыналатын жабдық пен құбыржолдары металының температурасы қабылданған беріктікті есептеу нормаларына сәйкес айқындалатын, рұқсат етілетін ең төменгі температурадан аз болмайтын сыналатын ортаның температурасында жүргізіледі. Бұл ретте барлық жағдайда сыналатын және қоршаған ортаның температурасы 5 </w:t>
      </w:r>
      <w:r>
        <w:rPr>
          <w:rFonts w:ascii="Times New Roman"/>
          <w:b w:val="false"/>
          <w:i w:val="false"/>
          <w:color w:val="000000"/>
          <w:vertAlign w:val="superscript"/>
        </w:rPr>
        <w:t>о</w:t>
      </w:r>
      <w:r>
        <w:rPr>
          <w:rFonts w:ascii="Times New Roman"/>
          <w:b w:val="false"/>
          <w:i w:val="false"/>
          <w:color w:val="000000"/>
          <w:sz w:val="28"/>
        </w:rPr>
        <w:t>С-тан төмен емес.</w:t>
      </w:r>
    </w:p>
    <w:bookmarkEnd w:id="9"/>
    <w:bookmarkStart w:name="z14" w:id="10"/>
    <w:p>
      <w:pPr>
        <w:spacing w:after="0"/>
        <w:ind w:left="0"/>
        <w:jc w:val="both"/>
      </w:pPr>
      <w:r>
        <w:rPr>
          <w:rFonts w:ascii="Times New Roman"/>
          <w:b w:val="false"/>
          <w:i w:val="false"/>
          <w:color w:val="000000"/>
          <w:sz w:val="28"/>
        </w:rPr>
        <w:t xml:space="preserve">
      272. Металдың температурасы 5 </w:t>
      </w:r>
      <w:r>
        <w:rPr>
          <w:rFonts w:ascii="Times New Roman"/>
          <w:b w:val="false"/>
          <w:i w:val="false"/>
          <w:color w:val="000000"/>
          <w:vertAlign w:val="superscript"/>
        </w:rPr>
        <w:t>о</w:t>
      </w:r>
      <w:r>
        <w:rPr>
          <w:rFonts w:ascii="Times New Roman"/>
          <w:b w:val="false"/>
          <w:i w:val="false"/>
          <w:color w:val="000000"/>
          <w:sz w:val="28"/>
        </w:rPr>
        <w:t xml:space="preserve">С-тан төмен емес болған кезде осы Техникалық регламенттің </w:t>
      </w:r>
      <w:r>
        <w:rPr>
          <w:rFonts w:ascii="Times New Roman"/>
          <w:b w:val="false"/>
          <w:i w:val="false"/>
          <w:color w:val="000000"/>
          <w:sz w:val="28"/>
        </w:rPr>
        <w:t>271-тармағы</w:t>
      </w:r>
      <w:r>
        <w:rPr>
          <w:rFonts w:ascii="Times New Roman"/>
          <w:b w:val="false"/>
          <w:i w:val="false"/>
          <w:color w:val="000000"/>
          <w:sz w:val="28"/>
        </w:rPr>
        <w:t xml:space="preserve"> бойынша есептеу жүргізбей, дайындаудан немесе монтаждаудан кейін гидравликалық (пневматикалық) сынақтарды өткізуге мынадай жағдайларда жол беріледі:</w:t>
      </w:r>
    </w:p>
    <w:bookmarkEnd w:id="10"/>
    <w:bookmarkStart w:name="z15" w:id="11"/>
    <w:p>
      <w:pPr>
        <w:spacing w:after="0"/>
        <w:ind w:left="0"/>
        <w:jc w:val="both"/>
      </w:pPr>
      <w:r>
        <w:rPr>
          <w:rFonts w:ascii="Times New Roman"/>
          <w:b w:val="false"/>
          <w:i w:val="false"/>
          <w:color w:val="000000"/>
          <w:sz w:val="28"/>
        </w:rPr>
        <w:t>
      1) бұйым аустенитті сыныпты, түсті немесе темір-никельді қорытпадан жасалған коррозиялық-төзімді болаттан дайындалғанда;</w:t>
      </w:r>
    </w:p>
    <w:bookmarkEnd w:id="11"/>
    <w:bookmarkStart w:name="z16" w:id="12"/>
    <w:p>
      <w:pPr>
        <w:spacing w:after="0"/>
        <w:ind w:left="0"/>
        <w:jc w:val="both"/>
      </w:pPr>
      <w:r>
        <w:rPr>
          <w:rFonts w:ascii="Times New Roman"/>
          <w:b w:val="false"/>
          <w:i w:val="false"/>
          <w:color w:val="000000"/>
          <w:sz w:val="28"/>
        </w:rPr>
        <w:t xml:space="preserve">
      2) бұйым 20 </w:t>
      </w:r>
      <w:r>
        <w:rPr>
          <w:rFonts w:ascii="Times New Roman"/>
          <w:b w:val="false"/>
          <w:i w:val="false"/>
          <w:color w:val="000000"/>
          <w:vertAlign w:val="superscript"/>
        </w:rPr>
        <w:t>о</w:t>
      </w:r>
      <w:r>
        <w:rPr>
          <w:rFonts w:ascii="Times New Roman"/>
          <w:b w:val="false"/>
          <w:i w:val="false"/>
          <w:color w:val="000000"/>
          <w:sz w:val="28"/>
        </w:rPr>
        <w:t>С температура кезінде аққыштық шегі 295 МПа кем (30 кгс/мм</w:t>
      </w:r>
      <w:r>
        <w:rPr>
          <w:rFonts w:ascii="Times New Roman"/>
          <w:b w:val="false"/>
          <w:i w:val="false"/>
          <w:color w:val="000000"/>
          <w:vertAlign w:val="superscript"/>
        </w:rPr>
        <w:t>2</w:t>
      </w:r>
      <w:r>
        <w:rPr>
          <w:rFonts w:ascii="Times New Roman"/>
          <w:b w:val="false"/>
          <w:i w:val="false"/>
          <w:color w:val="000000"/>
          <w:sz w:val="28"/>
        </w:rPr>
        <w:t>) болатын материалдардан дайындалғанда және қабырғасының қалыңдығы 25 мм-ден аспайтын болғанда;</w:t>
      </w:r>
    </w:p>
    <w:bookmarkEnd w:id="12"/>
    <w:bookmarkStart w:name="z17" w:id="13"/>
    <w:p>
      <w:pPr>
        <w:spacing w:after="0"/>
        <w:ind w:left="0"/>
        <w:jc w:val="both"/>
      </w:pPr>
      <w:r>
        <w:rPr>
          <w:rFonts w:ascii="Times New Roman"/>
          <w:b w:val="false"/>
          <w:i w:val="false"/>
          <w:color w:val="000000"/>
          <w:sz w:val="28"/>
        </w:rPr>
        <w:t xml:space="preserve">
      3) бұйым 20 </w:t>
      </w:r>
      <w:r>
        <w:rPr>
          <w:rFonts w:ascii="Times New Roman"/>
          <w:b w:val="false"/>
          <w:i w:val="false"/>
          <w:color w:val="000000"/>
          <w:vertAlign w:val="superscript"/>
        </w:rPr>
        <w:t>о</w:t>
      </w:r>
      <w:r>
        <w:rPr>
          <w:rFonts w:ascii="Times New Roman"/>
          <w:b w:val="false"/>
          <w:i w:val="false"/>
          <w:color w:val="000000"/>
          <w:sz w:val="28"/>
        </w:rPr>
        <w:t>С температура кезінде аққыштық шегі 590 МПа кем (60 кгс/мм</w:t>
      </w:r>
      <w:r>
        <w:rPr>
          <w:rFonts w:ascii="Times New Roman"/>
          <w:b w:val="false"/>
          <w:i w:val="false"/>
          <w:color w:val="000000"/>
          <w:vertAlign w:val="superscript"/>
        </w:rPr>
        <w:t>2</w:t>
      </w:r>
      <w:r>
        <w:rPr>
          <w:rFonts w:ascii="Times New Roman"/>
          <w:b w:val="false"/>
          <w:i w:val="false"/>
          <w:color w:val="000000"/>
          <w:sz w:val="28"/>
        </w:rPr>
        <w:t>) болатын материалдардан дайындалғанда және қабырғасының қалыңдығы 16 мм-ден аспайтын болғанда.</w:t>
      </w:r>
    </w:p>
    <w:bookmarkEnd w:id="13"/>
    <w:bookmarkStart w:name="z18" w:id="14"/>
    <w:p>
      <w:pPr>
        <w:spacing w:after="0"/>
        <w:ind w:left="0"/>
        <w:jc w:val="both"/>
      </w:pPr>
      <w:r>
        <w:rPr>
          <w:rFonts w:ascii="Times New Roman"/>
          <w:b w:val="false"/>
          <w:i w:val="false"/>
          <w:color w:val="000000"/>
          <w:sz w:val="28"/>
        </w:rPr>
        <w:t xml:space="preserve">
      Осы Техникалық регламенттің </w:t>
      </w:r>
      <w:r>
        <w:rPr>
          <w:rFonts w:ascii="Times New Roman"/>
          <w:b w:val="false"/>
          <w:i w:val="false"/>
          <w:color w:val="000000"/>
          <w:sz w:val="28"/>
        </w:rPr>
        <w:t>271-тармағы</w:t>
      </w:r>
      <w:r>
        <w:rPr>
          <w:rFonts w:ascii="Times New Roman"/>
          <w:b w:val="false"/>
          <w:i w:val="false"/>
          <w:color w:val="000000"/>
          <w:sz w:val="28"/>
        </w:rPr>
        <w:t xml:space="preserve"> бойынша есептеу жүргізбей, Т</w:t>
      </w:r>
      <w:r>
        <w:rPr>
          <w:rFonts w:ascii="Times New Roman"/>
          <w:b w:val="false"/>
          <w:i w:val="false"/>
          <w:color w:val="000000"/>
          <w:vertAlign w:val="subscript"/>
        </w:rPr>
        <w:t>һ</w:t>
      </w:r>
      <w:r>
        <w:rPr>
          <w:rFonts w:ascii="Times New Roman"/>
          <w:b w:val="false"/>
          <w:i w:val="false"/>
          <w:color w:val="000000"/>
          <w:sz w:val="28"/>
        </w:rPr>
        <w:t xml:space="preserve"> гидравликалық сынақтар кезінде металдың ең төменгі рұқсат етілетін температурасын анықтауға мынадай арақатынастарда жол беріледі:</w:t>
      </w:r>
    </w:p>
    <w:bookmarkEnd w:id="14"/>
    <w:p>
      <w:pPr>
        <w:spacing w:after="0"/>
        <w:ind w:left="0"/>
        <w:jc w:val="both"/>
      </w:pPr>
      <w:r>
        <w:rPr>
          <w:rFonts w:ascii="Times New Roman"/>
          <w:b w:val="false"/>
          <w:i w:val="false"/>
          <w:color w:val="000000"/>
          <w:sz w:val="28"/>
        </w:rPr>
        <w:t>
      SR</w:t>
      </w:r>
      <w:r>
        <w:rPr>
          <w:rFonts w:ascii="Times New Roman"/>
          <w:b w:val="false"/>
          <w:i w:val="false"/>
          <w:color w:val="000000"/>
          <w:vertAlign w:val="superscript"/>
        </w:rPr>
        <w:t>2</w:t>
      </w:r>
      <w:r>
        <w:rPr>
          <w:rFonts w:ascii="Times New Roman"/>
          <w:b w:val="false"/>
          <w:i w:val="false"/>
          <w:color w:val="000000"/>
          <w:sz w:val="28"/>
        </w:rPr>
        <w:t>P0,2 &lt;3,5х10</w:t>
      </w:r>
      <w:r>
        <w:rPr>
          <w:rFonts w:ascii="Times New Roman"/>
          <w:b w:val="false"/>
          <w:i w:val="false"/>
          <w:color w:val="000000"/>
          <w:vertAlign w:val="superscript"/>
        </w:rPr>
        <w:t>6</w:t>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h</w:t>
      </w:r>
      <w:r>
        <w:rPr>
          <w:rFonts w:ascii="Times New Roman"/>
          <w:b w:val="false"/>
          <w:i w:val="false"/>
          <w:color w:val="000000"/>
          <w:sz w:val="28"/>
        </w:rPr>
        <w:t xml:space="preserve"> &gt;Т</w:t>
      </w:r>
      <w:r>
        <w:rPr>
          <w:rFonts w:ascii="Times New Roman"/>
          <w:b w:val="false"/>
          <w:i w:val="false"/>
          <w:color w:val="000000"/>
          <w:vertAlign w:val="subscript"/>
        </w:rPr>
        <w:t>kо</w:t>
      </w:r>
      <w:r>
        <w:rPr>
          <w:rFonts w:ascii="Times New Roman"/>
          <w:b w:val="false"/>
          <w:i w:val="false"/>
          <w:color w:val="000000"/>
          <w:sz w:val="28"/>
        </w:rPr>
        <w:t xml:space="preserve"> – 260 + 73 х 10</w:t>
      </w:r>
      <w:r>
        <w:rPr>
          <w:rFonts w:ascii="Times New Roman"/>
          <w:b w:val="false"/>
          <w:i w:val="false"/>
          <w:color w:val="000000"/>
          <w:vertAlign w:val="superscript"/>
        </w:rPr>
        <w:t>-6</w:t>
      </w:r>
      <w:r>
        <w:rPr>
          <w:rFonts w:ascii="Times New Roman"/>
          <w:b w:val="false"/>
          <w:i w:val="false"/>
          <w:color w:val="000000"/>
          <w:sz w:val="28"/>
        </w:rPr>
        <w:t xml:space="preserve">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p>
    <w:p>
      <w:pPr>
        <w:spacing w:after="0"/>
        <w:ind w:left="0"/>
        <w:jc w:val="both"/>
      </w:pPr>
      <w:r>
        <w:rPr>
          <w:rFonts w:ascii="Times New Roman"/>
          <w:b w:val="false"/>
          <w:i w:val="false"/>
          <w:color w:val="000000"/>
          <w:sz w:val="28"/>
        </w:rPr>
        <w:t>
      3,5 х 10</w:t>
      </w:r>
      <w:r>
        <w:rPr>
          <w:rFonts w:ascii="Times New Roman"/>
          <w:b w:val="false"/>
          <w:i w:val="false"/>
          <w:color w:val="000000"/>
          <w:vertAlign w:val="superscript"/>
        </w:rPr>
        <w:t>6</w:t>
      </w:r>
      <w:r>
        <w:rPr>
          <w:rFonts w:ascii="Times New Roman"/>
          <w:b w:val="false"/>
          <w:i w:val="false"/>
          <w:color w:val="000000"/>
          <w:sz w:val="28"/>
        </w:rPr>
        <w:t xml:space="preserve"> &lt;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&lt;25 х 10</w:t>
      </w:r>
      <w:r>
        <w:rPr>
          <w:rFonts w:ascii="Times New Roman"/>
          <w:b w:val="false"/>
          <w:i w:val="false"/>
          <w:color w:val="000000"/>
          <w:vertAlign w:val="superscript"/>
        </w:rPr>
        <w:t>6</w:t>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h</w:t>
      </w:r>
      <w:r>
        <w:rPr>
          <w:rFonts w:ascii="Times New Roman"/>
          <w:b w:val="false"/>
          <w:i w:val="false"/>
          <w:color w:val="000000"/>
          <w:sz w:val="28"/>
        </w:rPr>
        <w:t xml:space="preserve"> &gt;T</w:t>
      </w:r>
      <w:r>
        <w:rPr>
          <w:rFonts w:ascii="Times New Roman"/>
          <w:b w:val="false"/>
          <w:i w:val="false"/>
          <w:color w:val="000000"/>
          <w:vertAlign w:val="subscript"/>
        </w:rPr>
        <w:t>kо</w:t>
      </w:r>
      <w:r>
        <w:rPr>
          <w:rFonts w:ascii="Times New Roman"/>
          <w:b w:val="false"/>
          <w:i w:val="false"/>
          <w:color w:val="000000"/>
          <w:sz w:val="28"/>
        </w:rPr>
        <w:t xml:space="preserve"> – 17 + 3,1 x 10</w:t>
      </w:r>
      <w:r>
        <w:rPr>
          <w:rFonts w:ascii="Times New Roman"/>
          <w:b w:val="false"/>
          <w:i w:val="false"/>
          <w:color w:val="000000"/>
          <w:vertAlign w:val="superscript"/>
        </w:rPr>
        <w:t>-6</w:t>
      </w:r>
      <w:r>
        <w:rPr>
          <w:rFonts w:ascii="Times New Roman"/>
          <w:b w:val="false"/>
          <w:i w:val="false"/>
          <w:color w:val="000000"/>
          <w:sz w:val="28"/>
        </w:rPr>
        <w:t xml:space="preserve">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&gt; 25 x 10</w:t>
      </w:r>
      <w:r>
        <w:rPr>
          <w:rFonts w:ascii="Times New Roman"/>
          <w:b w:val="false"/>
          <w:i w:val="false"/>
          <w:color w:val="000000"/>
          <w:vertAlign w:val="superscript"/>
        </w:rPr>
        <w:t>6</w:t>
      </w:r>
      <w:r>
        <w:rPr>
          <w:rFonts w:ascii="Times New Roman"/>
          <w:b w:val="false"/>
          <w:i w:val="false"/>
          <w:color w:val="000000"/>
          <w:sz w:val="28"/>
        </w:rPr>
        <w:t>T</w:t>
      </w:r>
      <w:r>
        <w:rPr>
          <w:rFonts w:ascii="Times New Roman"/>
          <w:b w:val="false"/>
          <w:i w:val="false"/>
          <w:color w:val="000000"/>
          <w:vertAlign w:val="subscript"/>
        </w:rPr>
        <w:t>h</w:t>
      </w:r>
      <w:r>
        <w:rPr>
          <w:rFonts w:ascii="Times New Roman"/>
          <w:b w:val="false"/>
          <w:i w:val="false"/>
          <w:color w:val="000000"/>
          <w:sz w:val="28"/>
        </w:rPr>
        <w:t xml:space="preserve"> &gt; T</w:t>
      </w:r>
      <w:r>
        <w:rPr>
          <w:rFonts w:ascii="Times New Roman"/>
          <w:b w:val="false"/>
          <w:i w:val="false"/>
          <w:color w:val="000000"/>
          <w:vertAlign w:val="subscript"/>
        </w:rPr>
        <w:t>kо</w:t>
      </w:r>
      <w:r>
        <w:rPr>
          <w:rFonts w:ascii="Times New Roman"/>
          <w:b w:val="false"/>
          <w:i w:val="false"/>
          <w:color w:val="000000"/>
          <w:sz w:val="28"/>
        </w:rPr>
        <w:t xml:space="preserve"> + 48 + 0,47 x 10</w:t>
      </w:r>
      <w:r>
        <w:rPr>
          <w:rFonts w:ascii="Times New Roman"/>
          <w:b w:val="false"/>
          <w:i w:val="false"/>
          <w:color w:val="000000"/>
          <w:vertAlign w:val="superscript"/>
        </w:rPr>
        <w:t>-6</w:t>
      </w:r>
      <w:r>
        <w:rPr>
          <w:rFonts w:ascii="Times New Roman"/>
          <w:b w:val="false"/>
          <w:i w:val="false"/>
          <w:color w:val="000000"/>
          <w:sz w:val="28"/>
        </w:rPr>
        <w:t xml:space="preserve"> 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 xml:space="preserve"> кезінде;</w:t>
      </w:r>
    </w:p>
    <w:bookmarkStart w:name="z19" w:id="15"/>
    <w:p>
      <w:pPr>
        <w:spacing w:after="0"/>
        <w:ind w:left="0"/>
        <w:jc w:val="both"/>
      </w:pPr>
      <w:r>
        <w:rPr>
          <w:rFonts w:ascii="Times New Roman"/>
          <w:b w:val="false"/>
          <w:i w:val="false"/>
          <w:color w:val="000000"/>
          <w:sz w:val="28"/>
        </w:rPr>
        <w:t>
      мұндағы: Т</w:t>
      </w:r>
      <w:r>
        <w:rPr>
          <w:rFonts w:ascii="Times New Roman"/>
          <w:b w:val="false"/>
          <w:i w:val="false"/>
          <w:color w:val="000000"/>
          <w:vertAlign w:val="subscript"/>
        </w:rPr>
        <w:t>kо</w:t>
      </w:r>
      <w:r>
        <w:rPr>
          <w:rFonts w:ascii="Times New Roman"/>
          <w:b w:val="false"/>
          <w:i w:val="false"/>
          <w:color w:val="000000"/>
          <w:sz w:val="28"/>
        </w:rPr>
        <w:t> – бастапқы жағдайдағы материал морттығының сындарлы температурасы, </w:t>
      </w:r>
      <w:r>
        <w:rPr>
          <w:rFonts w:ascii="Times New Roman"/>
          <w:b w:val="false"/>
          <w:i w:val="false"/>
          <w:color w:val="000000"/>
          <w:vertAlign w:val="superscript"/>
        </w:rPr>
        <w:t>о</w:t>
      </w:r>
      <w:r>
        <w:rPr>
          <w:rFonts w:ascii="Times New Roman"/>
          <w:b w:val="false"/>
          <w:i w:val="false"/>
          <w:color w:val="000000"/>
          <w:sz w:val="28"/>
        </w:rPr>
        <w:t xml:space="preserve">С; </w:t>
      </w:r>
    </w:p>
    <w:bookmarkEnd w:id="15"/>
    <w:p>
      <w:pPr>
        <w:spacing w:after="0"/>
        <w:ind w:left="0"/>
        <w:jc w:val="both"/>
      </w:pPr>
      <w:r>
        <w:rPr>
          <w:rFonts w:ascii="Times New Roman"/>
          <w:b w:val="false"/>
          <w:i w:val="false"/>
          <w:color w:val="000000"/>
          <w:sz w:val="28"/>
        </w:rPr>
        <w:t>
      T</w:t>
      </w:r>
      <w:r>
        <w:rPr>
          <w:rFonts w:ascii="Times New Roman"/>
          <w:b w:val="false"/>
          <w:i w:val="false"/>
          <w:color w:val="000000"/>
          <w:vertAlign w:val="subscript"/>
        </w:rPr>
        <w:t>h</w:t>
      </w:r>
      <w:r>
        <w:rPr>
          <w:rFonts w:ascii="Times New Roman"/>
          <w:b w:val="false"/>
          <w:i w:val="false"/>
          <w:color w:val="000000"/>
          <w:sz w:val="28"/>
        </w:rPr>
        <w:t xml:space="preserve"> – гидравликалық сынақтар температурасы; </w:t>
      </w:r>
    </w:p>
    <w:p>
      <w:pPr>
        <w:spacing w:after="0"/>
        <w:ind w:left="0"/>
        <w:jc w:val="both"/>
      </w:pPr>
      <w:r>
        <w:rPr>
          <w:rFonts w:ascii="Times New Roman"/>
          <w:b w:val="false"/>
          <w:i w:val="false"/>
          <w:color w:val="000000"/>
          <w:sz w:val="28"/>
        </w:rPr>
        <w:t>
      S – бұйым қабырғасының ең жоғары номиналды қалыңдығы, мм;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P0,2</w:t>
      </w:r>
      <w:r>
        <w:rPr>
          <w:rFonts w:ascii="Times New Roman"/>
          <w:b w:val="false"/>
          <w:i w:val="false"/>
          <w:color w:val="000000"/>
          <w:sz w:val="28"/>
        </w:rPr>
        <w:t xml:space="preserve"> – 20</w:t>
      </w:r>
      <w:r>
        <w:rPr>
          <w:rFonts w:ascii="Times New Roman"/>
          <w:b w:val="false"/>
          <w:i w:val="false"/>
          <w:color w:val="000000"/>
          <w:vertAlign w:val="superscript"/>
        </w:rPr>
        <w:t>о</w:t>
      </w:r>
      <w:r>
        <w:rPr>
          <w:rFonts w:ascii="Times New Roman"/>
          <w:b w:val="false"/>
          <w:i w:val="false"/>
          <w:color w:val="000000"/>
          <w:sz w:val="28"/>
        </w:rPr>
        <w:t>С температура кезінде материалдың аққыштық шегі, МПа.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kо</w:t>
      </w:r>
      <w:r>
        <w:rPr>
          <w:rFonts w:ascii="Times New Roman"/>
          <w:b w:val="false"/>
          <w:i w:val="false"/>
          <w:color w:val="000000"/>
          <w:sz w:val="28"/>
        </w:rPr>
        <w:t> мәні конструкторлық құжаттамада беріледі және дайындау процесінде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"308. АС-ты пайдалануды метрологиялық қамтамасыз ету АС-ты әзірлеуге арналған техникалық тапсырмада көзделеді және AC жобасының құрамдас бөлігі болып табылады. АС-ты пайдалануды метрологиялық қамтамасыз ету мыналардан тұрады:</w:t>
      </w:r>
    </w:p>
    <w:bookmarkEnd w:id="16"/>
    <w:bookmarkStart w:name="z22" w:id="17"/>
    <w:p>
      <w:pPr>
        <w:spacing w:after="0"/>
        <w:ind w:left="0"/>
        <w:jc w:val="both"/>
      </w:pPr>
      <w:r>
        <w:rPr>
          <w:rFonts w:ascii="Times New Roman"/>
          <w:b w:val="false"/>
          <w:i w:val="false"/>
          <w:color w:val="000000"/>
          <w:sz w:val="28"/>
        </w:rPr>
        <w:t>
      1) бақылауға жататын негізгі параметрлердің номенклатурасы, өлшеулер дәлдігінің нормалары, өлшеулерді орындау әдістемелері, өлшеу құралдарының түрлері;</w:t>
      </w:r>
    </w:p>
    <w:bookmarkEnd w:id="17"/>
    <w:bookmarkStart w:name="z23" w:id="18"/>
    <w:p>
      <w:pPr>
        <w:spacing w:after="0"/>
        <w:ind w:left="0"/>
        <w:jc w:val="both"/>
      </w:pPr>
      <w:r>
        <w:rPr>
          <w:rFonts w:ascii="Times New Roman"/>
          <w:b w:val="false"/>
          <w:i w:val="false"/>
          <w:color w:val="000000"/>
          <w:sz w:val="28"/>
        </w:rPr>
        <w:t>
      2) өлшеу құралдарын пайдалану кезінде оларды салыстырып тексеру;</w:t>
      </w:r>
    </w:p>
    <w:bookmarkEnd w:id="18"/>
    <w:bookmarkStart w:name="z24" w:id="19"/>
    <w:p>
      <w:pPr>
        <w:spacing w:after="0"/>
        <w:ind w:left="0"/>
        <w:jc w:val="both"/>
      </w:pPr>
      <w:r>
        <w:rPr>
          <w:rFonts w:ascii="Times New Roman"/>
          <w:b w:val="false"/>
          <w:i w:val="false"/>
          <w:color w:val="000000"/>
          <w:sz w:val="28"/>
        </w:rPr>
        <w:t>
      3) өлшеу құралдары мен өлшеу жүйелерін салыстырып тексеру әдістемелерінің номенклатурасы;</w:t>
      </w:r>
    </w:p>
    <w:bookmarkEnd w:id="19"/>
    <w:bookmarkStart w:name="z25" w:id="20"/>
    <w:p>
      <w:pPr>
        <w:spacing w:after="0"/>
        <w:ind w:left="0"/>
        <w:jc w:val="both"/>
      </w:pPr>
      <w:r>
        <w:rPr>
          <w:rFonts w:ascii="Times New Roman"/>
          <w:b w:val="false"/>
          <w:i w:val="false"/>
          <w:color w:val="000000"/>
          <w:sz w:val="28"/>
        </w:rPr>
        <w:t>
      4) өлшеу құралдарына қызмет көрсетуге, жөндеуге, салыстырып тексеру мен сақтауға арналған үй-жайларға қойылатын техникалық талаптар;</w:t>
      </w:r>
    </w:p>
    <w:bookmarkEnd w:id="20"/>
    <w:bookmarkStart w:name="z26" w:id="21"/>
    <w:p>
      <w:pPr>
        <w:spacing w:after="0"/>
        <w:ind w:left="0"/>
        <w:jc w:val="both"/>
      </w:pPr>
      <w:r>
        <w:rPr>
          <w:rFonts w:ascii="Times New Roman"/>
          <w:b w:val="false"/>
          <w:i w:val="false"/>
          <w:color w:val="000000"/>
          <w:sz w:val="28"/>
        </w:rPr>
        <w:t>
      5) АС-ты пайдалануды метрологиялық қамтамасыз ету жөніндегі жұмысты орындайтын персоналдың сандық нормативтері және оның біліктілігі.".</w:t>
      </w:r>
    </w:p>
    <w:bookmarkEnd w:id="21"/>
    <w:bookmarkStart w:name="z27" w:id="2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2"/>
    <w:bookmarkStart w:name="z28"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29" w:id="2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4"/>
    <w:bookmarkStart w:name="z30" w:id="2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5"/>
    <w:bookmarkStart w:name="z31"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6"/>
    <w:bookmarkStart w:name="z32"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