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ee06" w14:textId="342e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25 ақпандағы № 150 бұйрығы. Қазақстан Республикасының Әділет министрлігінде 2021 жылғы 26 ақпанда № 22262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2015 жылғы 30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 келесі редакцияда жазылсын</w:t>
      </w:r>
    </w:p>
    <w:bookmarkStart w:name="z4" w:id="2"/>
    <w:p>
      <w:pPr>
        <w:spacing w:after="0"/>
        <w:ind w:left="0"/>
        <w:jc w:val="both"/>
      </w:pPr>
      <w:r>
        <w:rPr>
          <w:rFonts w:ascii="Times New Roman"/>
          <w:b w:val="false"/>
          <w:i w:val="false"/>
          <w:color w:val="000000"/>
          <w:sz w:val="28"/>
        </w:rPr>
        <w:t>
      "2. Қызметтік және кезекші автомобильдерді пайдалану белгіленген жүру лимитінің шегінде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мұндайлар болмаған жағдайда – мемлекеттік мекеме басшысының бұйрығымен бекітілген тәртіппен жүзеге асырылады.";</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жақын елді мекендерге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Мемлекеттік органдарды телефон байланысымен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Қазақстан Республикасының Ішкі істер министрі және оның орынбасарлары, Қазақстан Республикасы Конституциялық Кеңесінің төрағасы мен мүшелері, Қазақстан Республикасы Орталық сайлау комиссиясының төрағасы,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қызметкерлері (басшылар, басшылардың қабылдау бөлмелері, ведомстволардың, департаменттердің басшылары және бөлім меңгерушілері, олардың орынбасарлары, ведомстволардың басшылары мен департамент директорларының қабылдау бөлмелері, сектор меңгерушілері, бас консультанттар, басқарма бастықтары, аға прокурорлар, бас сарапшылар - бір нөмірден және прокурорлар, сарапшылар - екеуге бір нөмір); облыстардың, республикалық маңызы бар қалалардың, астананың тексеру комиссияларының қызметкерлері – екеуге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bookmarkStart w:name="z18"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 осы телефон байланысының түрі сол сияқты стационарлық телефоннан ұялы байланыс желісіне шалынатын қоңырауды қамтиды.</w:t>
      </w:r>
    </w:p>
    <w:p>
      <w:pPr>
        <w:spacing w:after="0"/>
        <w:ind w:left="0"/>
        <w:jc w:val="both"/>
      </w:pPr>
      <w:r>
        <w:rPr>
          <w:rFonts w:ascii="Times New Roman"/>
          <w:b w:val="false"/>
          <w:i w:val="false"/>
          <w:color w:val="000000"/>
          <w:sz w:val="28"/>
        </w:rPr>
        <w:t>
      Осы заттай нормалары арнаулы мемлекеттік органдарға, Қазақстан Республикасының Қорғаныс министрлігіне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қалалардың, астананың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әкімінің орынбасарлары мен әкімінің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 орынбасарларының және әкімі аппараты басшысының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орынбасарларының және әкімі аппараты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құрылымдық бөлімшесінің басшысы, облыс (республикалық маңызы бар қала, астана) әкімі аппаратының, атқарушы органының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орынбасарлары мен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орынбасарлары мен аппарат басшысының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орынбасарлары мен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аппаратының, атқарушы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Республикалық бюджеттің атқарылуын бақылау жөніндегі есеп комитетінің, Жоғарғы Соттың, Жоғары Сот Кеңесінің,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25" w:id="15"/>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bookmarkStart w:name="z26"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Кеңесінің, Республикалық бюджеттің атқарылуын бақылау жөніндегі есеп комитетінің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Жоғарғы Соттың, Жоғары Сот Кеңесінің, Республикалық бюджеттің атқарылуын бақылау жөніндегі есеп комитетінің,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облыстық сот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 судьяларына және кеңсе меңгерушілеріне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