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144" w14:textId="b766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Қандастар мен қоныс аударушыларды қабылдаудың 2021 жылға арналған өңірлік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13 ақпандағы № 39 бұйрығы. Қазақстан Республикасының Әділет министрлігінде 2021 жылғы 16 ақпанда № 22211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 2011 жылғы 22 шілдедегі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2021 жылға арналған өңірлік квотасының саны 941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2021 жылға арналған өңірлік квотасының саны 7 211 адам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Еңбек және халықты әлеуметтік қорғау министрінің 21.12.2021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Еңбек және халықты әлеуметтік қорғау министрлігінің ресми интернет-ресурсында орналастырылуын;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ұсынылуын;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жұмысында басшылыққа алу үшін облыстар мен Нұр-Сұлтан, Алматы және Шымкент қалалары әкімдіктерінің назарына жеткізілуін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 А.Ә. Сарбасовқа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