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4382" w14:textId="e944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 мемлекеттік қызметтер көрсету қағидаларын бекіту туралы" Қазақстан Республикасы Мәдениет және спорт министрінің 2020 жылғы 8 шiлдедегi № 195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18 қаңтардағы № 9 бұйрығы. Қазақстан Республикасының Әділет министрлігінде 2021 жылғы 20 қаңтарда № 22088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20947 болып тіркелген, 2020 жылғы 16 шілдеде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"Казино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"Казино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8-тармақ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895"/>
        <w:gridCol w:w="10981"/>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xml:space="preserve">
3)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r>
              <w:br/>
            </w: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w:t>
            </w:r>
            <w:r>
              <w:br/>
            </w:r>
            <w:r>
              <w:rPr>
                <w:rFonts w:ascii="Times New Roman"/>
                <w:b w:val="false"/>
                <w:i w:val="false"/>
                <w:color w:val="000000"/>
                <w:sz w:val="20"/>
              </w:rPr>
              <w:t xml:space="preserve">
5)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 нысаны;</w:t>
            </w:r>
            <w:r>
              <w:br/>
            </w: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r>
              <w:br/>
            </w:r>
            <w:r>
              <w:rPr>
                <w:rFonts w:ascii="Times New Roman"/>
                <w:b w:val="false"/>
                <w:i w:val="false"/>
                <w:color w:val="000000"/>
                <w:sz w:val="20"/>
              </w:rPr>
              <w:t>
7) құжаттың электрондық көшірмесі нысанындағы ойын мекемесі жұмысының, ставкаларды қабылдаудың және өткізілетін құмар ойындарының және (немесе) бәс тігудің қазақ және орыс тілдеріндегі қағидалары;</w:t>
            </w:r>
            <w:r>
              <w:br/>
            </w: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шарт;лицензияны қайта ресімдеу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r>
              <w:br/>
            </w: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"Ойын автоматтары залы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"Ойын автоматтары залы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8-тармақ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895"/>
        <w:gridCol w:w="10981"/>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("Электрондық үкіметтің" төлем шлюзі (бұдан әрі - ЭҮТШ) арқылы төленген жағдайларды қоспағанда);</w:t>
            </w:r>
            <w:r>
              <w:br/>
            </w:r>
            <w:r>
              <w:rPr>
                <w:rFonts w:ascii="Times New Roman"/>
                <w:b w:val="false"/>
                <w:i w:val="false"/>
                <w:color w:val="000000"/>
                <w:sz w:val="20"/>
              </w:rPr>
              <w:t xml:space="preserve">
3)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r>
              <w:br/>
            </w: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w:t>
            </w:r>
            <w:r>
              <w:br/>
            </w:r>
            <w:r>
              <w:rPr>
                <w:rFonts w:ascii="Times New Roman"/>
                <w:b w:val="false"/>
                <w:i w:val="false"/>
                <w:color w:val="000000"/>
                <w:sz w:val="20"/>
              </w:rPr>
              <w:t xml:space="preserve">
5)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 нысаны;</w:t>
            </w:r>
            <w:r>
              <w:br/>
            </w: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r>
              <w:br/>
            </w:r>
            <w:r>
              <w:rPr>
                <w:rFonts w:ascii="Times New Roman"/>
                <w:b w:val="false"/>
                <w:i w:val="false"/>
                <w:color w:val="000000"/>
                <w:sz w:val="20"/>
              </w:rPr>
              <w:t>
7) құжаттың электрондық көшірмесі нысанындағы ойын мекемесі жұмысының, ставкаларды қабылдаудың және өткізілетін құмар ойындарының және (немесе) бәс тігудің қазақ және орыс тілдеріндегі қағидалары;</w:t>
            </w:r>
            <w:r>
              <w:br/>
            </w: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шарт;лицензияны қайта ресімдеу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r>
              <w:br/>
            </w: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"Букмекер кеңсесі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"Букмекер кеңсесі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8-тармақ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895"/>
        <w:gridCol w:w="10981"/>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xml:space="preserve">
3)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r>
              <w:br/>
            </w: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осы стандартқа 3-қосымшаға сәйкес нысан бойынша меншік құқығындағы ойын жабдығы туралы мәліметтер нысаны;</w:t>
            </w:r>
            <w:r>
              <w:br/>
            </w:r>
            <w:r>
              <w:rPr>
                <w:rFonts w:ascii="Times New Roman"/>
                <w:b w:val="false"/>
                <w:i w:val="false"/>
                <w:color w:val="000000"/>
                <w:sz w:val="20"/>
              </w:rPr>
              <w:t xml:space="preserve">
5)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осы стандартқа 4-қосымшаға сәйкес нысан бойынша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 нысаны;</w:t>
            </w:r>
            <w:r>
              <w:br/>
            </w:r>
            <w:r>
              <w:rPr>
                <w:rFonts w:ascii="Times New Roman"/>
                <w:b w:val="false"/>
                <w:i w:val="false"/>
                <w:color w:val="000000"/>
                <w:sz w:val="20"/>
              </w:rPr>
              <w:t>
6) құжаттың электрондық көшірмесі нысанындағы букмекерлік кеңсенің жұмысының, ставкаларды қабылдаудың және өткізілетін құмар ойындарының және (немесе) бәс тігудің қазақ және орыс тілдеріндегі қағидалары;</w:t>
            </w:r>
            <w:r>
              <w:br/>
            </w: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шарт;лицензияны қайта ресімдеу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 – электрондық сұрау салу);</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r>
              <w:br/>
            </w: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3"/>
    <w:bookmarkStart w:name="z15" w:id="14"/>
    <w:p>
      <w:pPr>
        <w:spacing w:after="0"/>
        <w:ind w:left="0"/>
        <w:jc w:val="both"/>
      </w:pPr>
      <w:r>
        <w:rPr>
          <w:rFonts w:ascii="Times New Roman"/>
          <w:b w:val="false"/>
          <w:i w:val="false"/>
          <w:color w:val="000000"/>
          <w:sz w:val="28"/>
        </w:rPr>
        <w:t xml:space="preserve">
      көрсетілген бұйрықпен бекітілген "Тотализатор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"Тотализатор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8-тармақ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895"/>
        <w:gridCol w:w="10981"/>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xml:space="preserve">
3)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r>
              <w:br/>
            </w: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w:t>
            </w:r>
            <w:r>
              <w:br/>
            </w:r>
            <w:r>
              <w:rPr>
                <w:rFonts w:ascii="Times New Roman"/>
                <w:b w:val="false"/>
                <w:i w:val="false"/>
                <w:color w:val="000000"/>
                <w:sz w:val="20"/>
              </w:rPr>
              <w:t xml:space="preserve">
5)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 нысаны;</w:t>
            </w:r>
            <w:r>
              <w:br/>
            </w:r>
            <w:r>
              <w:rPr>
                <w:rFonts w:ascii="Times New Roman"/>
                <w:b w:val="false"/>
                <w:i w:val="false"/>
                <w:color w:val="000000"/>
                <w:sz w:val="20"/>
              </w:rPr>
              <w:t>
6) құжаттың электрондық көшірмесі нысанындағы тотализатордың жұмысының, ставкаларды қабылдаудың және өткізілетін құмар ойындарының және (немесе) бәс тігудің қазақ және орыс тілдеріндегі қағидалары;</w:t>
            </w:r>
            <w:r>
              <w:br/>
            </w: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шарт;лицензияны қайта ресімдеу үшін:</w:t>
            </w:r>
            <w:r>
              <w:br/>
            </w: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r>
              <w:br/>
            </w: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r>
              <w:br/>
            </w: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r>
              <w:br/>
            </w: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7"/>
    <w:bookmarkStart w:name="z19" w:id="18"/>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18"/>
    <w:bookmarkStart w:name="z2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1" w:id="20"/>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 қамтамасыз етсін;</w:t>
      </w:r>
    </w:p>
    <w:bookmarkEnd w:id="20"/>
    <w:bookmarkStart w:name="z22" w:id="21"/>
    <w:p>
      <w:pPr>
        <w:spacing w:after="0"/>
        <w:ind w:left="0"/>
        <w:jc w:val="both"/>
      </w:pPr>
      <w:r>
        <w:rPr>
          <w:rFonts w:ascii="Times New Roman"/>
          <w:b w:val="false"/>
          <w:i w:val="false"/>
          <w:color w:val="000000"/>
          <w:sz w:val="28"/>
        </w:rPr>
        <w:t>
      3) осы бұйрықпен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1"/>
    <w:bookmarkStart w:name="z23"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2"/>
    <w:bookmarkStart w:name="z24"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bookmarkStart w:name="z25" w:id="24"/>
    <w:p>
      <w:pPr>
        <w:spacing w:after="0"/>
        <w:ind w:left="0"/>
        <w:jc w:val="both"/>
      </w:pPr>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18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5"/>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716"/>
        <w:gridCol w:w="2716"/>
        <w:gridCol w:w="2830"/>
        <w:gridCol w:w="3066"/>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арналған шарттың нөмірі және күні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шарт жасасқан заңды тұлғаның атауы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көрсететін заңды тұлғалардың бизнес-сәйкестендіру нөмірі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қызметін жүзеге асыру үшін лицензияның нөмірі және күні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716"/>
        <w:gridCol w:w="2716"/>
        <w:gridCol w:w="2830"/>
        <w:gridCol w:w="3066"/>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арналған шарттың нөмірі және күні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шарт жасасқан заңды тұлғаның атауы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көрсететін заңды тұлғалардың бизнес-сәйкестендіру нөмірі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қызметін жүзеге асыру үшін лицензияның нөмірі және күні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716"/>
        <w:gridCol w:w="2716"/>
        <w:gridCol w:w="2830"/>
        <w:gridCol w:w="3066"/>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арналған шарттың нөмірі және күні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шарт жасасқан заңды тұлғаның атауы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көрсететін заңды тұлғалардың бизнес-сәйкестендіру нөмірі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қызметін жүзеге асыру үшін лицензияның нөмірі және күні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8"/>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716"/>
        <w:gridCol w:w="2716"/>
        <w:gridCol w:w="2830"/>
        <w:gridCol w:w="3066"/>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арналған шарттың нөмірі және күні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көрсетуге шарт жасасқан заңды тұлғаның атауы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қызметтерін көрсететін заңды тұлғалардың бизнес-сәйкестендіру нөмірі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Күзет қызметін жүзеге асыру үшін лицензияның нөмірі және күні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