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bde" w14:textId="22a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3 наурыздағы № 44-2 "Жаңақала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21 сәуірдегі № 48-1 шешімі. Батыс Қазақстан облысының Әділет департаментінде 2020 жылғы 23 сәуірде № 6180 болып тіркелді. Күші жойылды - Батыс Қазақстан облысы Жаңақала аудандық мәслихатының 2021 жылғы 22 қаңтардағы № 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 жылғы 28 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 жылғы 13 сәуірдегі "Қазақстан Республикасында мүгедектердi әлеуметтiк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"Мемлекеттік атаулы әлеуметтік көмек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3 наурыздағы № 44-2 "Жаңақала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№6080 тіркелген, 2020 жылғы 18 наурызда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– жолдағы "300 000" деген сандар "1 000 000" деген сандармен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