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e0b1" w14:textId="d0e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 әкімдігінің 2018 жылғы 29 мамырдағы №14 "Бөрлі ауданының елді мекендерінде салық салу объектісінің орналасқан жерін ескеретін аймаққа бөлу коэффициенттерін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2020 жылғы 4 мамырдағы № 150 қаулысы. Батыс Қазақстан облысының Әділет департаментінде 2020 жылғы 6 мамырда № 6220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ауданы әкімдігінің 2018 жылғы 29 мамырдағы №14 "Бөрлі ауданының елді мекендерінде салық салу объектісінің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№5215 тіркелген, 2018 жылы 11 маусымда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(кіріспе)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ауданы әкімі аппаратының мемлекеттік - құқықтық жұмысы бөлімінің басшысы (Д.Муканова) осы қаулының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елді мекендерінде салық салу объектісінің орналасқан жерін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Масайтөбе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Бақтыарал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Даниялкөл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Приуральное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Пугачево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Сұлусай разъезді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Қаракұдық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