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848c" w14:textId="dac8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2020 жылғы 18 ақпандағы № 62 қаулысы. Батыс Қазақстан облысының Әділет департаментінде 2020 жылғы 25 ақпанда № 6049 болып тіркелді. Күші жойылды - Батыс Қазақстан облысы Бөрлі ауданы әкімдігінің 2021 жылғы 3 наурыздағы № 49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03.03.2021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Бөрлі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4"/>
    <w:bookmarkStart w:name="z8" w:id="5"/>
    <w:p>
      <w:pPr>
        <w:spacing w:after="0"/>
        <w:ind w:left="0"/>
        <w:jc w:val="both"/>
      </w:pPr>
      <w:r>
        <w:rPr>
          <w:rFonts w:ascii="Times New Roman"/>
          <w:b w:val="false"/>
          <w:i w:val="false"/>
          <w:color w:val="000000"/>
          <w:sz w:val="28"/>
        </w:rPr>
        <w:t xml:space="preserve">
      2. Бөрлі ауданы әкімдігінің 2018 жылғы 14 желтоқсандағы №30 "Бөрлі ауданы бойынша 2019 жылға жұмыс орындарына квота белгілеу туралы" (Нормативтік құқықтық актілерді мемлекеттік тіркеу тізілімінде №5453 тіркелген, 2019 жылғы 3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(Д.Муканова)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2020 жылғы 18 ақпандағы № 62</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Бөрлі ауданы бойынша 2020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618"/>
        <w:gridCol w:w="1532"/>
        <w:gridCol w:w="2745"/>
        <w:gridCol w:w="2679"/>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орындардың саны (бірлік)</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"Аксай-Проминвест" жауапкершілігі шектеулі серіктестігі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"Аксайавтотранс" акционерлік қоғамы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басқармасының Бөрлі арнаулы әлеуметтік қызмет көрсету орталығы" коммуналдық мемлекеттік мекемесі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2020 жылғы 18 ақпандағы № 62</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Бөрлі ауданы бойынша 2020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342"/>
        <w:gridCol w:w="1935"/>
        <w:gridCol w:w="3466"/>
        <w:gridCol w:w="3639"/>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орындардың саны (бірлік)</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"Аксай-Проминвест" жауапкершілігі шектеулі серіктестігі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"Аксайавтотранс" акционерлік қоғамы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2020 жылғы 18 ақпандағы № 62</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Бөрлі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117"/>
        <w:gridCol w:w="1217"/>
        <w:gridCol w:w="2069"/>
        <w:gridCol w:w="4387"/>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 дің тізімдік санынан %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орындардың саны (бірлік)</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"Аксай-Проминвест" жауапкершілігі шектеулі серіктестігі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"LCI Catering" жауапкершілігі шектеулі серіктестігі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