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220c" w14:textId="4fc2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3 маусымдағы № 48-1 шешімі. Батыс Қазақстан облысының Әділет департаментінде 2020 жылғы 9 маусымда № 6273 болып тіркелді. Күші жойылды - Батыс Қазақстан облысы Ақжайық аудандық мәслихатының 2021 жылғы 5 сәуірдегі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2020 жылғы 13 қаңтардағы № 41-1 "2020-2022 жылдарға арналған Ақжайық ауданы ауылдық округтерінің бюджеттері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5935 тіркелген, 2020 жылы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24 903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26 928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631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169 320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160 386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172 857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- 3 537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3 537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3 537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230 628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1 852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195 726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238 338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- 7 710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7 710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– 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Аксуат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24 499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25 701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20 167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19 258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20 167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24 273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22 898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29 064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Көнекеткен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26 413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25 871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26 413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Жанабұлақ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18 732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18 284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18 732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23 500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22 805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23 500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27 544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45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27 427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26 875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27 427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24 283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24 283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34 429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34 079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34 429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21 630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20 661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21 630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6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Есенсай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Тайпақ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ауылдық округітің мемлекеттік тұрғын үй қорын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7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Бударин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Базаршолан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8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Көнекеткен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Жанабұлақ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39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Құрайлысай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40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Қабыршақты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40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Сарытоғай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40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