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37d3" w14:textId="a9f3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51-7 "2020-2022 жылдарға арналған Тарбағатай ауданы Тұғыл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қарашадағы № 63-17 шешімі. Шығыс Қазақстан облысының Әділет департаментінде 2020 жылғы 11 қарашада № 7806 болып тіркелді. Күші жойылды - Шығыс Қазақстан облысы Тарбағатай аудандық мәслихатының 2020 жылғы 30 желтоқсандағы № 67-17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22 қазандағы № 62-2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7738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51-7 "2020-2022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6659 нөмірімен тіркелген, Қазақстан Республикасы нормативтік құқықтық актілерінің электрондық түрдегі Эталондық бақылау банкінде 2020 жылғы 24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68 881,5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16 244,0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52 433,5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77 483,9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- 8 602,4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8 602,4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8 602,4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Тұғыл ауылдық округ бюджетіне аудандық бюджеттен – 35 693,5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Тұғыл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