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41e9" w14:textId="1074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51-15 "2020-2022 жылдарға арналған Тарбағатай ауданы Ойшілік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қарашадағы № 63-15 шешімі. Шығыс Қазақстан облысының Әділет департаментінде 2020 жылғы 11 қарашада № 7804 болып тіркелді. Күші жойылды - Шығыс Қазақстан облысы Тарбағатай аудандық мәслихатының 2020 жылғы 30 желтоқсандағы № 67-15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22 қазандағы № 62-2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7738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51-15 "2020-2022 жылдарға арналған Тарбағатай ауданы Ойшілік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6671 нөмірімен тіркелген, Қазақстан Республикасы нормативтік құқықтық актілерінің электрондық түрдегі Эталондық бақылау банкінде 2020 жылғы 18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59 460,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55 953,0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60 524,1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- 1 064,1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1 064,1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1 064,1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Ойшілік ауылдық округ бюджетіне аудандық бюджеттен – 16 831,0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63-15 шешіміне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Ойшілік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