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5d795" w14:textId="725d7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аудандық маслихатының 2020 жылғы 13 қаңтардағы № 51-12 "2020-2022 жылдарға арналған Тарбағатай ауданы Құмкөл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 қарашадағы № 63-12 шешімі. Шығыс Қазақстан облысының Әділет департаментінде 2020 жылғы 11 қарашада № 7801 болып тіркелді. Күші жойылды - Шығыс Қазақстан облысы Тарбағатай аудандық мәслихатының 2020 жылғы 30 желтоқсандағы № 67-12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30.12.2020 № 67-12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Тарбағатай аудандық мәслихатының 2020 жылғы 22 қазандағы № 62-2 "Тарбағатай аудандық мәслихатының 2019 жылғы 24 желтоқсандағы № 50-2 "2020-2022 жылдарға арналған Тарбағатай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7738 нөмірімен тіркелді) сәйкес Тарбағатай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51-12 "2020-2022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6668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34 462,5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3 584,0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30 878,5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34 830,7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- 368,2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368,2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368,2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"2020 жылға арналған Тарбағатай ауданы Құмкөл ауылдық округ бюджетіне аудандық бюджеттен – 9 538,5 мың теңге көлемінде нысаналы трансферттер көзделгені ескерілсін.";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63-12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34 462,5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30 878,5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34 830,7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