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1bd" w14:textId="2a0b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6 қаңтардағы № 35/314–VI "2020-2022 жылдарға арналған Катонқарағай ауданының ауылдық округтерінің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7 желтоқсандағы № 45/397-VI шешімі. Шығыс Қазақстан облысының Әділет департаментінде 2020 жылғы 9 желтоқсанда № 7940 болып тіркелді. Күші жойылды - Шығыс Қазақстан облысы Катонқарағай аудандық мәслихатының 2021 жылғы 14 сәуірдегі № 5/39-VII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Катонқарағай аудандық мәслихатының 2020 жылғы 23 қарашадағы № 45/392-VI "Катонқарағай аудандық мәслихатының 2019 жылғы 26 желтоқсандағы № 35/299–VI "2020-2022 жылдарға арналған Катонқарағай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кұқықтық актілердің мемлекеттік тіркеу Тізілімінде 7901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6 қаңтардағы № 35/314-VI "2020-2022 жылдарға арналған Катонқарағай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6578 нөмірімен тіркелген, 2020 жылғы 23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411 254,5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393 854,5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411 254,5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25 129,3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25 129,3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- 25 129,3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25 129,3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25 129,3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126 467,0 мың теңге, оның iшiнде: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966,0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852,0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124 649,0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126 467,0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511 073,5 мың теңге, оның iшiнде: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26 632,0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484 441,5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511 172,4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164 899,7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164 899,7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- 164 998,6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164 998,6 мың теңге: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164 899,7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 жылға арналған республикалық бюджеттен ауылдық округтер бюджеттеріне берілетін субвенция 665 719,0 мың теңге сомасында белгіленсін, оның ішінде: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 ауылдық округі – 45 753,0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 – 22215,0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 – 47503,0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Белқарағай ауылдық округі – 24521,0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22078,0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ауылдық округі – 83989,0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Коробиха ауылдық округі – 26562,0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Ново-Поляковка ауылдық округі – 18299,0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Ново-Хайрузовка ауылдық округі – 48709,0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Солдатово ауылдық округі – 16 777,0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Солоновка ауылдық округі – 61 118,0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Өрел ауылдық округі – 55363,0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ауылдық округі – 192832 мың теңге.";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14-1 тармақпен толықтырылсын: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2020 жылға арналған аудандық бюджеттен ауылдық округтер бюджеттеріне берілетін субвенция 50340,0 мың теңге сомасында белгіленсін,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 ауылдық округі – 199,0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 – 1612,0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 – 3828,0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Белқарағай ауылдық округі – – 6423,0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5526,0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ауылдық округі – 407,0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Коробиха ауылдық округі – 2571,0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Ново-Поляковка ауылдық округі – 6221,0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Ново-Хайрузовка ауылдық округі – 2037,0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Солдатово ауылдық округі – 0,0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Солоновка ауылдық округі – 0,0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Өрел ауылдық округі – – 2362,0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ауылдық округі – 19154 мың теңге.".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45/397-VI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2020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45/397-VI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Солдатово ауылдық округінің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45/397-VI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2020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