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5f10" w14:textId="d6c5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6 қаңтардағы № 35/314–VI "2020-2022 жылдарға арналған Катонқарағай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10 қарашадағы № 44/390-VI шешімі. Шығыс Қазақстан облысының Әділет департаментінде 2020 жылғы 12 қарашада № 7809 болып тіркелді. Күші жойылды - Шығыс Қазақстан облысы Катонқарағай аудандық мәслихатының 2021 жылғы 14 сәуірдегі № 5/39-VII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Катонқарағай аудандық мәслихатының 2020 жылғы 28 қазандағы № 44/382-VI "Катонқарағай аудандық мәслихатының 2019 жылғы 26 желтоқсандағы № 35/299–VI "2020-2022 жылдарға арналған Катонқарағай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кұқықтық актілердің мемлекеттік тіркеу Тізілімінде 7781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6 қаңтардағы № 35/314-VI "2020-2022 жылдарға арналған Катонқарағай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6578 нөмірімен тіркелген, 2020 жылғы 23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411796,5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394396,5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411796,5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25 129,3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25 129,3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5) бюджет тапшылығы (профициті) – - 25 129,3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25 129,3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25 129,3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64 977,0 мың теңге, оның iшiнде: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4 037,0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60940,0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64 977,0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42296,0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42296,0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- 42296,0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42296,0 мың теңге: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42296,0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511765,5 мың теңге, оның iшiнде: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26 632,0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485133,5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511864,4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164 899,7 мың теңге, оның ішінде: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164899,7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- 164 998,6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164998,6 мың теңге: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164899,7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98,9 мың теңге.".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44/390-VI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2020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44/390-VI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шеңберінде шараларды каржыландыру үшін аудандық бюджеттен ауылдық округ бюджетіне кредиттер сомасын бөлу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44/390-VI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Өрел ауылдық округінің 2020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44/390-VI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шеңберінде шараларды каржыландыру үшін аудандық бюджеттен ауылдық округ бюджетіне кредиттер сомасын бөлу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44/390-VI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2020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44/390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шеңберінде шараларды каржыландыру үшін аудандық бюджеттен ауылдық округ бюджетіне кредиттер сомасын бөлу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