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5354" w14:textId="d4b5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17 сәуірдегі № 38/333-VI шешімі. Шығыс Қазақстан облысының Әділет департаментінде 2020 жылғы 12 мамырда № 7053 болып тіркелді. Күші жойылды - Шығыс Қазақстан облысы Катонқарағай аудандық мәслихатының 2024 жылғы 12 сәуірдегі № 15/180-VIII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12.04.2024 </w:t>
      </w:r>
      <w:r>
        <w:rPr>
          <w:rFonts w:ascii="Times New Roman"/>
          <w:b w:val="false"/>
          <w:i w:val="false"/>
          <w:color w:val="ff0000"/>
          <w:sz w:val="28"/>
        </w:rPr>
        <w:t>№ 15/180-VIII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2014 жылғы 23 желтоқсандағы № 28/214-V "Тұрғын үй көмегін көрсетудің мөлшері мен тәртібін айқындау қағидасын бекіту туралы" (нормативтік құқықтық актілерді тіркеу Тізілімінде 3643 нөмірімен тіркелген, 2015 жылғы 04 ақпандағы "Арай"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бірінші абзац жаңа редакцияда жазылсын:</w:t>
      </w:r>
    </w:p>
    <w:bookmarkEnd w:id="5"/>
    <w:bookmarkStart w:name="z13" w:id="6"/>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көрсетудің мөлшері мен тәртібін айқындау қағидасы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(бұдан әрі – Ереже) қаулыларына сәйкес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төлем үшін:</w:t>
      </w:r>
    </w:p>
    <w:bookmarkEnd w:id="7"/>
    <w:bookmarkStart w:name="z16" w:id="8"/>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8"/>
    <w:bookmarkStart w:name="z17" w:id="9"/>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9"/>
    <w:bookmarkStart w:name="z18" w:id="10"/>
    <w:p>
      <w:pPr>
        <w:spacing w:after="0"/>
        <w:ind w:left="0"/>
        <w:jc w:val="both"/>
      </w:pPr>
      <w:r>
        <w:rPr>
          <w:rFonts w:ascii="Times New Roman"/>
          <w:b w:val="false"/>
          <w:i w:val="false"/>
          <w:color w:val="000000"/>
          <w:sz w:val="28"/>
        </w:rPr>
        <w:t>
      3) мемлекеттік тұрғын үй қорынан тұрғын 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10"/>
    <w:bookmarkStart w:name="z19"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20" w:id="12"/>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 - жайды пайдаланғаны үшiн жалға алу ақысының ұлғаюы бөлiгiнде кондоминиум объектісінің ортақ мүлкін күтiп - 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2"/>
    <w:bookmarkStart w:name="z21"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Малахов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