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89a5" w14:textId="fa78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42/356-VI "2020-2022 жылдарға арналған Жарма ауданы Жарық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10 қыркүйектегі № 49/459-VI шешімі. Шығыс Қазақстан облысының Әділет департаментінде 2020 жылғы 17 қыркүйекте № 7544 болып тіркелді. Күші жойылды - Шығыс Қазақстан облысы Жарма аудандық мәслихатының 2020 жылғы 30 желтоқсандағы № 53/545-VI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53/545-VI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11 тамыздағы № 48/434-VI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№7495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42/356-VI "2020-2022 жылдарға арналған Жарма ауданы Жарық ауылдық округінің бюджеті туралы" (нормативтік құқықтық актілерді мемлекеттік тіркеу Тізілімінде № 6642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37910,0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1763,0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36147,0 мың теңге;</w:t>
      </w:r>
    </w:p>
    <w:bookmarkEnd w:id="8"/>
    <w:bookmarkStart w:name="z16" w:id="9"/>
    <w:p>
      <w:pPr>
        <w:spacing w:after="0"/>
        <w:ind w:left="0"/>
        <w:jc w:val="both"/>
      </w:pPr>
      <w:r>
        <w:rPr>
          <w:rFonts w:ascii="Times New Roman"/>
          <w:b w:val="false"/>
          <w:i w:val="false"/>
          <w:color w:val="000000"/>
          <w:sz w:val="28"/>
        </w:rPr>
        <w:t>
      2) шығындар – 37910,0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10 қыркүйегі </w:t>
            </w:r>
            <w:r>
              <w:br/>
            </w:r>
            <w:r>
              <w:rPr>
                <w:rFonts w:ascii="Times New Roman"/>
                <w:b w:val="false"/>
                <w:i w:val="false"/>
                <w:color w:val="000000"/>
                <w:sz w:val="20"/>
              </w:rPr>
              <w:t xml:space="preserve">№ 49/459-VI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13 қаңтардағы </w:t>
            </w:r>
            <w:r>
              <w:br/>
            </w:r>
            <w:r>
              <w:rPr>
                <w:rFonts w:ascii="Times New Roman"/>
                <w:b w:val="false"/>
                <w:i w:val="false"/>
                <w:color w:val="000000"/>
                <w:sz w:val="20"/>
              </w:rPr>
              <w:t xml:space="preserve">№ 42/356-VI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Жарық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