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3dc6" w14:textId="5ec3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49/2-VІ "2020-2022 жылдарға арналған Баскөл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54/2-VI шешімі. Шығыс Қазақстан облысының Әділет департаментінде 2020 жылғы 26 маусымда № 7230 болып тіркелді. Күші жойылды - Шығыс Қазақстан облысы Бесқарағай аудандық мәслихатының 2020 жылғы 29 желтоқсандағы № 62/2-VI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w:t>
      </w:r>
      <w:r>
        <w:rPr>
          <w:rFonts w:ascii="Times New Roman"/>
          <w:b w:val="false"/>
          <w:i w:val="false"/>
          <w:color w:val="000000"/>
          <w:sz w:val="28"/>
        </w:rPr>
        <w:t>№ 49/2-VІ</w:t>
      </w:r>
      <w:r>
        <w:rPr>
          <w:rFonts w:ascii="Times New Roman"/>
          <w:b w:val="false"/>
          <w:i w:val="false"/>
          <w:color w:val="000000"/>
          <w:sz w:val="28"/>
        </w:rPr>
        <w:t xml:space="preserve"> "2020-2022 жылдарға арналған Баскөл ауылдық округінің бюджеті туралы" (нормативтік құқықтық актілерді мемлекеттік тіркеу Тізілімінде 6625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Баскөл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28148,0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3140,0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25008,0 мың теңге;</w:t>
      </w:r>
    </w:p>
    <w:bookmarkEnd w:id="8"/>
    <w:bookmarkStart w:name="z16" w:id="9"/>
    <w:p>
      <w:pPr>
        <w:spacing w:after="0"/>
        <w:ind w:left="0"/>
        <w:jc w:val="both"/>
      </w:pPr>
      <w:r>
        <w:rPr>
          <w:rFonts w:ascii="Times New Roman"/>
          <w:b w:val="false"/>
          <w:i w:val="false"/>
          <w:color w:val="000000"/>
          <w:sz w:val="28"/>
        </w:rPr>
        <w:t>
      2) шығындар – 28148,0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49/2-VI шешіміне 1 қосымша</w:t>
            </w:r>
          </w:p>
        </w:tc>
      </w:tr>
    </w:tbl>
    <w:bookmarkStart w:name="z35" w:id="23"/>
    <w:p>
      <w:pPr>
        <w:spacing w:after="0"/>
        <w:ind w:left="0"/>
        <w:jc w:val="left"/>
      </w:pPr>
      <w:r>
        <w:rPr>
          <w:rFonts w:ascii="Times New Roman"/>
          <w:b/>
          <w:i w:val="false"/>
          <w:color w:val="000000"/>
        </w:rPr>
        <w:t xml:space="preserve"> 2020 жылға арналған Баскөл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