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444" w14:textId="765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43/308-VІ "2020-2022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54/512-VI шешімі. Шығыс Қазақстан облысының Әділет департаментінде 2020 жылғы 14 желтоқсанда № 7972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32174,0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31190,0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32174,0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