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e393e" w14:textId="fae39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10 қаңтардағы № 43/307-VІ "2020-2022 жылдарға арналған Аягөз ауданының Баршатас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8 желтоқсандағы № 54/511-VI шешімі. Шығыс Қазақстан облысының Әділет департаментінде 2020 жылғы 14 желтоқсанда № 7967 болып тіркелді. Күші жойылды - Шығыс Қазақстан облысы Аягөз аудандық мәслихатының 2020 жылғы 25 желтоқсандағы № 55/550-VI шешімі.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25.12.2020 </w:t>
      </w:r>
      <w:r>
        <w:rPr>
          <w:rFonts w:ascii="Times New Roman"/>
          <w:b w:val="false"/>
          <w:i w:val="false"/>
          <w:color w:val="ff0000"/>
          <w:sz w:val="28"/>
        </w:rPr>
        <w:t>№ 55/550-VI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Құжаттың мәтінінде түпнұсқаның пунктуациясы мен орфографиясы сақталған.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Аягөз аудандық мәслихатының 2020 жылғы 27 қарашадағы № 54/498-VI "2020-2022 жылдарға арналған Аягөз ауданының бюджеті туралы" Аягөз аудандық мәслихатының 2019 жылғы 25 желтоқсандағы № 42/291-VІ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7927 нөмірімен тіркелген) сәйкес, Аягөз аудандық мәслихаты ШЕШІМ ҚАБЫЛДАДЫ: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№43/307-VІ "2020-2022 жылдарға арналған Аягөз ауданының Баршатас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6596 нөмірімен тіркелген, Қазақстан Республикасының нормативтік құқықтық актілерінің электрондық түрдегі эталондық бақылау банкінде 2020 жылдың 22 қаңтарында жарияланған) мынадай өзгерістер енгізілсін: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Баршатас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53706,0 мың теңге, соның ішінде: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4256,0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49450,0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54223,0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- 517,0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517,0 мың теңге, соның ішінде: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517,0 мың теңге.";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Кусагов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54/511-VI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43/307-VI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Баршатас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32662,3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32662,3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32662,3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32462,3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