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8499" w14:textId="9c18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3-VІ "2020-2022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48-VI шешімі. Шығыс Қазақстан облысының Әділет департаментінде 2020 жылғы 24 қыркүйекте № 7569 болып тіркелді. Күші жойылды - Шығыс Қазақстан облысы Аягөз аудандық мәслихатының 2020 жылғы 25 желтоқсандағы № 55/532-VI шешімімен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3-VІ "2020-2022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2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11,0 мың теңге, соның ішінде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8,6 мың тең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,4 мың тең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88,0 мың тең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11,0 мың теңге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4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ат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