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eed4" w14:textId="b40e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7-VІ "2020-2022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62-VI шешімі. Шығыс Қазақстан облысының Әділет департаментінде 2020 жылғы 24 қыркүйекте № 7567 болып тіркелді. Күші жойылды - Шығыс Қазақстан облысы Аягөз аудандық мәслихатының 2020 жылғы 25 желтоқсандағы № 55/54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7-VІ "2020-2022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4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06,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3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06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6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ыңбұлақ ауылдық округінің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