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cd8" w14:textId="8f02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4 қыркүйектегі № 52/432-VI шешімі. Шығыс Қазақстан облысының Әділет департаментінде 2020 жылғы 14 қыркүйекте № 7523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2020 жылғы 21 тамыздағы № 41/466 -VI "2020-2022 жылдарға арналған облыстық бюджет туралы" Шығыс Қазақстан облыстық мәслихатының 2019 жылғы 13 желтоқсандағы № 35/389-VІ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7500 нөмірімен тіркелген) сәйкес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 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15252641,8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8675594,0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18804,8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48328,0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6509915,0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15824419,3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79504,0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87483,0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7979,0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- 651281,5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651281,5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490371,0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168889,5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Аягөз ауданының атқарушы органының резерві 214000,0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4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52/432-VI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Аягөз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15252641,8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8675594,0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3173772,5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3145209,5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2530714,6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6503273,9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15824419,3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2207988,6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1943897,8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1554638,1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8047090,3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6990776,2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6808587,5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6677949,5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1727985,5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834083,9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791951,6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54779,6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1215078,8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792296,7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365982,3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506149,1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