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da6e" w14:textId="678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43/316-VІ "2020-2022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2 маусымдағы № 48/393-VI шешімі. Шығыс Қазақстан облысының Әділет департаментінде 2020 жылғы 11 маусымда № 7184 болып тіркелді. Күші жойылды - Шығыс Қазақстан облысы Аягөз аудандық мәслихатының 2020 жылғы 25 желтоқсандағы № 55/545-VI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21 мамырдағы №48/378-VI "2020-2022 жылдарға арналған Аягөз ауданының бюджеті туралы" Аягөз аудандық мәслихатының 2019 жылғы 25 желтоқсандағы №42/291-VІ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7133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№43/316-VІ "2020-2022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6586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Мамырсу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55996,0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6000,0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85,0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49911,0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56043,5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- 47,5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47,5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47,5 мың теңге.";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 маусымы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48/393-VI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Мамырсу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