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47a3" w14:textId="1fc4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43/312-VІ "2020-2022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48/391-VI шешімі. Шығыс Қазақстан облысының Әділет департаментінде 2020 жылғы 11 маусымда № 7179 болып тіркелді. Күші жойылды - Шығыс Қазақстан облысы Аягөз аудандық мәслихатының 2020 жылғы 25 желтоқсандағы № 55/541-VI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№43/312-VІ "2020-2022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6591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66181,8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64617,8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66181,8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48/391-VI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қалалардағы, ауылдардағы, қалалардағы,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