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f2cd" w14:textId="632f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43/315-VІ "2020 жылға арналған Аягөз ауданының Малкелді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14 сәуірдегі № 46/358-VI шешімі. Шығыс Қазақстан облысының Әділет департаментінде 2020 жылғы 22 сәуірде № 6973 болып тіркелді. Күші жойылды - Шығыс Қазақстан облысы Аягөз аудандық мәслихатының 2020 жылғы 25 желтоқсандағы № 55/544-VI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2020 жылғы 31 наурыздағы № 45/336-VI "2020-2022 жылдарға арналған Аягөз ауданының бюджеті туралы" Аягөз аудандық мәслихатының 2019 жылғы 25 желтоқсандағы №42/291-VІ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6869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№43/315-VІ "2020-2022 жылдарға арналған Аягөз ауданының Малкелді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6587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15527,0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368,0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22,0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15137,0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15527,0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46/358-VI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қаңтарындағы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Малкелді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