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aad" w14:textId="abbe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31 сәуірдегі № 45/336-VI шешімі. Шығыс Қазақстан облысының Әділет департаментінде 2020 жылғы 9 сәуірде № 6869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2020 жылғы 13 наурыздағы № 36/410 -VI "2020-2022 жылдарға арналған облыстық бюджет туралы" Шығыс Қазақстан облыстық мәслихатының 2019 жылғы 13 желтоқсандағы №35/389-VІ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6778 нөмірімен тіркелген) сәйкес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12940703,1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7809181,0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5064209,1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13049438,4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7979,0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- 188239,3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188239,3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108735,3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45/336-VI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12940703,1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5064209,1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13049438,4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1414187,9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1021962,8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7475630,3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6523359,3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6368595,3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6262173,3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1682736,9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-188239,3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