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240" w14:textId="79b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6 қаңтардағы № 37/293-VІ "Курчатов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30 қарашадағы № 47/352-VI шешімі. Шығыс Қазақстан облысының Әділет департаментінде 2020 жылғы 8 желтоқсанда № 7935 болып тіркелді. Күші жойылды - Шығыс Қазақстан облысы Курчатов қалалық мәслихатының 2020 жылғы 25 желтоқсандағы № 48/361-VI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2020 жылғы 17 қарашадағы № 43/490-VI "Шығыс Қазақстан облыстық мәслихатының 2019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7858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37/293-VI "Курчатов қаласының 2020 – 2022 жылдарға арналған бюджеті туралы" (нормативтік құқықтық актілерді мемлекеттік тіркеу Тізілімінде 6501 нөмірімен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3 293 133,6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1 320 879,4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65 102,0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3 170,0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1 903 982,2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3 584 220,3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-291 086,7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291 086,7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52 314,0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238 772,7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қалалық бюджетте облыстық бюджеттен берілетін дамуға арналған нысаналы трансферттер 146 118,0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қалалық бюджетте республикалық бюджеттен берілетін ағымдағы нысаналы трансферттер 243 170,0 мың теңге сомасында қарастырылсын.";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47/352-VI шешіміне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3 293 133,6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1 320 879,4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3 584 220,3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1 208 201,1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862 364,3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176 915,4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940 306,2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