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296f" w14:textId="616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6 қаңтардағы № 37/293-VІ "Курчатов қаласының 2020 – 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30 сәуірдегі № 40/312-VI шешімі. Шығыс Қазақстан облысының Әділет департаментінде 2020 жылғы 12 мамырда № 7054 болып тіркелді. Күші жойылды - Шығыс Қазақстан облысы Курчатов қалалық мәслихатының 2020 жылғы 25 желтоқсандағы № 48/361-VI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2020 жылғы 22 сәуірдегі № 38/424-VI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6993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37/293-VІ "Курчатов қаласының 2020 – 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6501 нөмірімен тіркелген, 2020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3 269 351,0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1 291 338,0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19 102,0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3 170,0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1 955 741,0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3 389 471,0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- 172 434,0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172 434,0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52 314,0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120 120,0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жылға арналған қалалық бюджетті орындау барысында секвестрлеуге жатпайтын,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қалалық бюджетте облыстық бюджеттен берілетін ағымдағы нысаналы трансферттер 343 498,0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қалалық бюджетте республикалық бюджеттен берілетін ағымдағы нысаналы трансферттер 241 367,0 мың теңге сомасында қарастырылсын.";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қалалық бюджетте республикалық бюджеттен берілетін дамуға арналған нысаналы трансферттер 709 380,0 мың теңге сомасында қарастырылсын.";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805 046,5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-172 434,0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