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46e9" w14:textId="5524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23 желтоқсандағы № 52/2-VI "Өскемен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27 наурыздағы № 54/3-VI шешімі. Шығыс Қазақстан облысының Әділет департаментінде 2020 жылғы 3 сәуірде № 6845 болып тіркелді. Күші жойылды - Шығыс Қазақстан облысы Өскемен қалалық мәслихатының 2020 жылғы 24 желтоқсандағы № 64/2-VI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2020 жылғы 13 наурыздағы № 36/410-VI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6778 нөмірімен тіркелген)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23 желтоқсандағы № 52/2-VI "Өскемен қаласының 2020-2022 жылдарға арналған бюджеті туралы" (Нормативтік құқықтық актілерді мемлекеттік тіркеу тізілімінде 6468 нөмірімен тіркелген, Қазақстан Республикасы нормативтік құқықтық актілерінің электрондық түрдегі эталондық бақылау банкінде 2020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2020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80 842 791,2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33 548 075,3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253 350,0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5 035 160,7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42 006 205,2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78 147 046,7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603 235,0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606 300,0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3 065,0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2 092 509,5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- 2 092 509,5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3 348 403,0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5 560 118,5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119 206,0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2020 жылға арналған жергілікті атқарушы органының резерві 284 160,9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2020 жылғы 13 наурыздағы № 36/410-VI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6778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кірістерді бөлу нормативтері атқарылуға алынсын: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– 100,0 %;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салынатын, кірістерден ұсталатын жеке табыс салығы – 36,6 %;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– 36,6 %.";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4 қосымшасы осы шешімнің 2 қосымшасына сәйкес жаңа редакцияда жазылсын,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өзгермейді.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наурызы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2020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80 842 791,2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33 548 075,3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18 532 189,5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7 214 425,6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11 317 763,9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7 896 039,8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7 896 039,8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5 624 157,0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3 362 617,0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1 015 295,0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5 035 160,7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4 755 160,7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4 755 160,7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42 006 205,2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42 006 205,2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42 006 205,2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78 147 046,7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805 453,6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270 115,3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82 968,4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63 641,9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62 141,9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31 079 679,0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30 820 056,0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23 717 008,0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1 152 898,0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3 768 271,0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121 234,0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1 264 924,0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2 789 944,0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2 639 574,0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309 678,0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591 483,5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569 958,0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93 551,0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33 430 797,3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4 581 056,6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1 421 551,0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1 223 497,1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1 537 550,0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305 488,0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28 667 132,5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12 461 243,9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14 528 575,6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1 353 457,0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1 036 907,9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767 323,5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320 982,5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269 584,4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188 345,4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99 579,8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6 833 301,4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6 833 301,4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3 041 713,5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2 438 073,0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1 353 514,9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1 423 700,9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190 565,6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190 565,6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603 235,0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2 092 509,5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-2 092 509,5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3 348 403,0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3 348 403,0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3 348 403,0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