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34cd" w14:textId="6fb3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Бұланды өзенінің, Қараайғыр бұлағы мен атауы жоқ №№ 1, 2 бұлақтардың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 қарашадағы № 390 қаулысы. Шығыс Қазақстан облысының Әділет департаментінде 2020 жылғы 10 қарашада № 7783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Бұланды өзенінің, Қараайғыр бұлағы мен атауы жоқ № № 1, 2 бұлақтардың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Бұланды өзенінің, Қараайғыр бұлағы мен атауы жоқ №№ 1, 2 бұлақтардың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 қарашасы № 390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Күршім ауданы аумағында ауыл шаруашылығы жануарларын жаю үшін аукцион арқылы өткізуге арналған жер учаскесінің тұстамасындағы Бұланды өзенінің, Қараайғыр бұлағы мен атауы жоқ №№ 1, 2 бұлақтардың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849"/>
        <w:gridCol w:w="2277"/>
        <w:gridCol w:w="1634"/>
        <w:gridCol w:w="1849"/>
        <w:gridCol w:w="1850"/>
        <w:gridCol w:w="1204"/>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Бұланды өзені </w:t>
            </w:r>
            <w:r>
              <w:br/>
            </w:r>
            <w:r>
              <w:rPr>
                <w:rFonts w:ascii="Times New Roman"/>
                <w:b w:val="false"/>
                <w:i w:val="false"/>
                <w:color w:val="000000"/>
                <w:sz w:val="20"/>
              </w:rPr>
              <w:t>сол жағалау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230,8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Қараайғыр бұлағы </w:t>
            </w:r>
            <w:r>
              <w:br/>
            </w:r>
            <w:r>
              <w:rPr>
                <w:rFonts w:ascii="Times New Roman"/>
                <w:b w:val="false"/>
                <w:i w:val="false"/>
                <w:color w:val="000000"/>
                <w:sz w:val="20"/>
              </w:rPr>
              <w:t>сол жағалау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259,0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39,8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 1 бұлақ </w:t>
            </w:r>
            <w:r>
              <w:br/>
            </w:r>
            <w:r>
              <w:rPr>
                <w:rFonts w:ascii="Times New Roman"/>
                <w:b w:val="false"/>
                <w:i w:val="false"/>
                <w:color w:val="000000"/>
                <w:sz w:val="20"/>
              </w:rPr>
              <w:t>оң жағалау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2,65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120,9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15,1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 2 бұлақ </w:t>
            </w:r>
            <w:r>
              <w:br/>
            </w:r>
            <w:r>
              <w:rPr>
                <w:rFonts w:ascii="Times New Roman"/>
                <w:b w:val="false"/>
                <w:i w:val="false"/>
                <w:color w:val="000000"/>
                <w:sz w:val="20"/>
              </w:rPr>
              <w:t>сол жағалау</w:t>
            </w:r>
            <w:r>
              <w:br/>
            </w:r>
            <w:r>
              <w:rPr>
                <w:rFonts w:ascii="Times New Roman"/>
                <w:b w:val="false"/>
                <w:i w:val="false"/>
                <w:color w:val="000000"/>
                <w:sz w:val="20"/>
              </w:rPr>
              <w:t>оң жағалау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2,55</w:t>
            </w:r>
            <w:r>
              <w:br/>
            </w:r>
            <w:r>
              <w:rPr>
                <w:rFonts w:ascii="Times New Roman"/>
                <w:b w:val="false"/>
                <w:i w:val="false"/>
                <w:color w:val="000000"/>
                <w:sz w:val="20"/>
              </w:rPr>
              <w:t>1,5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105,0</w:t>
            </w:r>
            <w:r>
              <w:br/>
            </w:r>
            <w:r>
              <w:rPr>
                <w:rFonts w:ascii="Times New Roman"/>
                <w:b w:val="false"/>
                <w:i w:val="false"/>
                <w:color w:val="000000"/>
                <w:sz w:val="20"/>
              </w:rPr>
              <w:t>61,5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w:t>
            </w:r>
            <w:r>
              <w:br/>
            </w:r>
            <w:r>
              <w:rPr>
                <w:rFonts w:ascii="Times New Roman"/>
                <w:b w:val="false"/>
                <w:i w:val="false"/>
                <w:color w:val="000000"/>
                <w:sz w:val="20"/>
              </w:rPr>
              <w:t>500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1,91</w:t>
            </w:r>
            <w:r>
              <w:br/>
            </w:r>
            <w:r>
              <w:rPr>
                <w:rFonts w:ascii="Times New Roman"/>
                <w:b w:val="false"/>
                <w:i w:val="false"/>
                <w:color w:val="000000"/>
                <w:sz w:val="20"/>
              </w:rPr>
              <w:t>1,93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13,7</w:t>
            </w:r>
            <w:r>
              <w:br/>
            </w:r>
            <w:r>
              <w:rPr>
                <w:rFonts w:ascii="Times New Roman"/>
                <w:b w:val="false"/>
                <w:i w:val="false"/>
                <w:color w:val="000000"/>
                <w:sz w:val="20"/>
              </w:rPr>
              <w:t>14,0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75</w:t>
            </w:r>
            <w:r>
              <w:br/>
            </w:r>
            <w:r>
              <w:rPr>
                <w:rFonts w:ascii="Times New Roman"/>
                <w:b w:val="false"/>
                <w:i w:val="false"/>
                <w:color w:val="000000"/>
                <w:sz w:val="20"/>
              </w:rPr>
              <w:t>75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