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359c" w14:textId="e5f3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26 қазандағы № 379 қаулысы. Шығыс Қазақстан облысының Әділет департаментінде 2020 жылғы 28 қазанда № 7731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атауы жоқ бұлақтың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атауы жоқ бұлақтың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4"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26 қазаны </w:t>
            </w:r>
            <w:r>
              <w:br/>
            </w:r>
            <w:r>
              <w:rPr>
                <w:rFonts w:ascii="Times New Roman"/>
                <w:b w:val="false"/>
                <w:i w:val="false"/>
                <w:color w:val="000000"/>
                <w:sz w:val="20"/>
              </w:rPr>
              <w:t>№ 379 қаулысына қосымша</w:t>
            </w:r>
          </w:p>
        </w:tc>
      </w:tr>
    </w:tbl>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атауы жоқ бұлақтың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2290"/>
        <w:gridCol w:w="1489"/>
        <w:gridCol w:w="2023"/>
        <w:gridCol w:w="2291"/>
        <w:gridCol w:w="1757"/>
        <w:gridCol w:w="1491"/>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r>
              <w:br/>
            </w:r>
            <w:r>
              <w:rPr>
                <w:rFonts w:ascii="Times New Roman"/>
                <w:b w:val="false"/>
                <w:i w:val="false"/>
                <w:color w:val="000000"/>
                <w:sz w:val="20"/>
              </w:rPr>
              <w:t>
Оң жағалау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