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16f3" w14:textId="6141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Н. Назарбаев даңғылы бойында орналасқан сұралып отырған жер учаскесіндегі Комендантка ағысының (оң жағалау) және "Металлург" саябағындағы тоғанның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27 тамыздағы № 308 қаулысы. Шығыс Қазақстан облысының Әділет департаментінде 2020 жылғы 11 қыркүйекте № 7516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қаласының Н. Назарбаев даңғылы бойында орналасқан сұралып отырған жер учаскесіндегі Комендантка ағысының (оң жағалау) және "Металлург" саябағындағы тоғанның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қаласының Н. Назарбаев даңғылы бойында орналасқан сұралып отырған жер учаскесіндегі Комендантка ағысының (оң жағалау) және "Металлург" саябағындағы тоғанның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27 тамызы № 308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Өскемен қаласының Н. Назарбаев даңғылы бойындағы 29 және 29/1 үйлердің ауданында № 15 учаскеде орналасқан Б.Ж. Мейрамханов сұрап отырған (автопаркинг жобалау және салу үшін) жер учаскесіндегі Комендантка ағысының (оң жағалау) және "Металлург" саябағындағы тоғанның су қорғау аймақтары мен су қорғау белдеулері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