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a392" w14:textId="e06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24 желтоқсандағы № 53-335-VІ "2020-2022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19 қарашадағы № 68-402-VI шешiмi. Түркістан облысының Әдiлет департаментiнде 2020 жылғы 20 қарашада № 5897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2020 жылғы 13 қарашадағы № 67-400-VI "Шардара аудандық мәслихатының 2019 жылғы 20 желтоқсандағы № 52-320-VI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5889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24 желтоқсандағы № 53-335-VI "2020-2022 жылдарға арналған қала, ауылдық округтердің бюджеті туралы" (Нормативтік құқықтық актілерді мемлекеттік тіркеу тізілімінде № 5355 тіркелген және 2020 жылғы 15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2020-2022 жылдарға арналған бюджеті тиісінше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849 429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115 821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733 302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- 25 280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2020-2022 жылдарға арналған бюджеті тиісінше 4, 5 және 6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138 541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2020-2022 жылдарға арналған бюджеті тиісінше 7, 8 және 9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162 815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153 373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2020-2022 жылдарға арналған бюджеті тиісінше 10, 11 және 12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104 921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2020-2022 жылдарға арналған бюджеті тиісінше 13, 14 және 15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195 344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183 788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2020-2022 жылдарға арналған бюджеті тиісінше 16, 17 және 18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2020-2022 жылдарға арналған бюджеті тиісінше 19, 20 және 21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115 719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2020-2022 жылдарға арналған бюджеті тиісінше 22, 23 және 24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116 904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112 074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2020-2022 жылдарға арналған бюджеті тиісінше 25, 26 және 27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112 277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2020-2022 жылдарға арналған бюджеті тиісінше 28, 29 және 30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87 362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2020-2022 жылдарға арналған бюджеті тиісінше 31, 32 және 33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117 663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68-402-VI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