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af7d" w14:textId="feba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2020 жылғы 31 наурыздағы № 56-353-VI шешiмi. Түркістан облысының Әдiлет департаментiнде 2020 жылғы 13 сәуірде № 5562 болып тiркелдi. Күші жойылды - Түркістан облысы Шардара аудандық мәслихатының 2020 жылғы 23 қарашадағы № 68-403-VI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23.11.2020 № 68-403-VI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тіркелген) және аудан әкімінің 2020 жылғы 18 наурыздағы № 08-665 мәлімдемесіне сәйкес, Шардара ауданы мәслихаты ШЕШІМ ҚАБЫЛДАДЫ:</w:t>
      </w:r>
    </w:p>
    <w:bookmarkStart w:name="z2" w:id="1"/>
    <w:p>
      <w:pPr>
        <w:spacing w:after="0"/>
        <w:ind w:left="0"/>
        <w:jc w:val="both"/>
      </w:pPr>
      <w:r>
        <w:rPr>
          <w:rFonts w:ascii="Times New Roman"/>
          <w:b w:val="false"/>
          <w:i w:val="false"/>
          <w:color w:val="000000"/>
          <w:sz w:val="28"/>
        </w:rPr>
        <w:t>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2020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"Шардара ауданы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Шардара ауданы мәслихат аппаратының басшысы Р.Бекмуратовқа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